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raoh_cover_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PingFang TC" w:hAnsi="PingFang TC"/>
          <w:b/>
          <w:color w:val="DE5814"/>
          <w:sz w:val="42"/>
        </w:rPr>
        <w:t>八旬失智配偶法律防禦與權益最大化戰略報告書</w:t>
      </w:r>
    </w:p>
    <w:p>
      <w:pPr>
        <w:spacing w:after="280"/>
        <w:jc w:val="center"/>
      </w:pPr>
      <w:r>
        <w:rPr>
          <w:rFonts w:ascii="PingFang TC" w:hAnsi="PingFang TC"/>
          <w:b/>
          <w:color w:val="A83212"/>
          <w:sz w:val="22"/>
        </w:rPr>
        <w:t>阻斷廖光輝惡意脫產・向第三者湛明輝追討資產・監護宣告・夫妻剩餘財產清算全攻略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42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ypt_divi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BEB"/>
            <w:tcMar>
              <w:top w:w="160" w:type="dxa"/>
              <w:bottom w:w="160" w:type="dxa"/>
              <w:left w:w="260" w:type="dxa"/>
              <w:right w:w="260" w:type="dxa"/>
            </w:tcMar>
          </w:tcPr>
          <w:p>
            <w:pPr>
              <w:jc w:val="center"/>
            </w:pPr>
            <w:r>
              <w:rPr>
                <w:rFonts w:ascii="PingFang TC" w:hAnsi="PingFang TC"/>
                <w:b/>
                <w:color w:val="DE5814"/>
                <w:sz w:val="26"/>
              </w:rPr>
              <w:t>報告人：Howard Liao Ph.D.(廖倫豪 博士)</w:t>
              <w:br/>
            </w:r>
            <w:r>
              <w:rPr>
                <w:rFonts w:ascii="PingFang TC" w:hAnsi="PingFang TC"/>
                <w:color w:val="2D3748"/>
                <w:sz w:val="20"/>
              </w:rPr>
              <w:t>台灣家事法規實務與財產保全專案 ｜ 日期：2026年9月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PingFang TC" w:hAnsi="PingFang TC"/>
          <w:b/>
          <w:color w:val="DE5814"/>
          <w:sz w:val="32"/>
        </w:rPr>
        <w:t>壹、【說明篇】本案法律本質與核心戰略形勢分析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本案當事人雙方均為</w:t>
      </w:r>
      <w:r>
        <w:rPr>
          <w:rFonts w:ascii="PingFang TC" w:hAnsi="PingFang TC"/>
          <w:b/>
          <w:color w:val="D97706"/>
          <w:sz w:val="21"/>
        </w:rPr>
        <w:t>民國三十八年次（現年約77歲）</w:t>
      </w:r>
      <w:r>
        <w:rPr>
          <w:rFonts w:ascii="PingFang TC" w:hAnsi="PingFang TC"/>
          <w:b w:val="0"/>
          <w:color w:val="2D3748"/>
          <w:sz w:val="21"/>
        </w:rPr>
        <w:t>，結縭近五十年（金婚）。母親長年相夫教子，晚年罹患腦神經退化（失智重症），日常生活已達需專人照顧且符合外籍看護聘僱資格；父親廖光輝身為有責配偶，不思扶養照料，竟在外與第三者湛明輝交往，甚至將名下不動產與巨額存款惡意移轉登記予湛明輝，企圖透過訴訟拋棄病妻。</w:t>
      </w:r>
    </w:p>
    <w:p>
      <w:pPr>
        <w:spacing w:before="200" w:after="80"/>
      </w:pPr>
      <w:r>
        <w:rPr>
          <w:rFonts w:ascii="PingFang TC" w:hAnsi="PingFang TC"/>
          <w:b/>
          <w:color w:val="A83212"/>
          <w:sz w:val="26"/>
        </w:rPr>
        <w:t>1.1 婚齡近半世紀：法官心證「絕對不准父親判決離婚」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依《民法》第 1052 條第 2 項但書規定：「難以維持婚姻之重大事由應由夫妻之一方負責者，僅他方得請求離婚。」廖光輝外遇出軌且惡意脫產，為破壞婚姻之唯一過失方；母親失智為重大疾病，非其過錯。在司法裁判實務上，法官極度排斥「另一半重病就惡意丟包」之脫法訴求，若由監護人代理母親堅決不同意離婚，</w:t>
      </w:r>
      <w:r>
        <w:rPr>
          <w:rFonts w:ascii="PingFang TC" w:hAnsi="PingFang TC"/>
          <w:b/>
          <w:color w:val="D97706"/>
          <w:sz w:val="21"/>
        </w:rPr>
        <w:t>法官有 99% 以上機率直接駁回廖光輝的離婚起訴</w:t>
      </w:r>
      <w:r>
        <w:rPr>
          <w:rFonts w:ascii="PingFang TC" w:hAnsi="PingFang TC"/>
          <w:b w:val="0"/>
          <w:color w:val="2D3748"/>
          <w:sz w:val="21"/>
        </w:rPr>
        <w:t>！</w:t>
      </w:r>
    </w:p>
    <w:p>
      <w:pPr>
        <w:spacing w:before="200" w:after="80"/>
      </w:pPr>
      <w:r>
        <w:rPr>
          <w:rFonts w:ascii="PingFang TC" w:hAnsi="PingFang TC"/>
          <w:b/>
          <w:color w:val="A83212"/>
          <w:sz w:val="26"/>
        </w:rPr>
        <w:t>1.2 財產黃金期：100% 均落在「應平分的婚後財產」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長輩一輩子置產累積財富均在民國 74 年民法修正後之婚姻存續期間。廖光輝名下無論房地產、股票或銀行存款，依法全數推定為「婚後財產」，完全無法扣除，</w:t>
      </w:r>
      <w:r>
        <w:rPr>
          <w:rFonts w:ascii="PingFang TC" w:hAnsi="PingFang TC"/>
          <w:b/>
          <w:color w:val="D97706"/>
          <w:sz w:val="21"/>
        </w:rPr>
        <w:t>母親依法穩穩享有剩餘財產淨額 50% 請求權</w:t>
      </w:r>
      <w:r>
        <w:rPr>
          <w:rFonts w:ascii="PingFang TC" w:hAnsi="PingFang TC"/>
          <w:b w:val="0"/>
          <w:color w:val="2D3748"/>
          <w:sz w:val="21"/>
        </w:rPr>
        <w:t>！</w:t>
      </w:r>
    </w:p>
    <w:p>
      <w:pPr>
        <w:spacing w:before="200" w:after="80"/>
      </w:pPr>
      <w:r>
        <w:rPr>
          <w:rFonts w:ascii="PingFang TC" w:hAnsi="PingFang TC"/>
          <w:b/>
          <w:color w:val="A83212"/>
          <w:sz w:val="26"/>
        </w:rPr>
        <w:t>1.3 核心戰略博弈：「離」與「不離」的極限抉擇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 xml:space="preserve">• </w:t>
      </w:r>
      <w:r>
        <w:rPr>
          <w:rFonts w:ascii="PingFang TC" w:hAnsi="PingFang TC"/>
          <w:b/>
          <w:color w:val="D97706"/>
          <w:sz w:val="21"/>
        </w:rPr>
        <w:t>策略 A：堅決不離（以拖待變・保全最大遺產）【首選】</w:t>
      </w:r>
      <w:r>
        <w:rPr>
          <w:rFonts w:ascii="PingFang TC" w:hAnsi="PingFang TC"/>
          <w:b w:val="0"/>
          <w:color w:val="2D3748"/>
          <w:sz w:val="21"/>
        </w:rPr>
        <w:t>：母親保留合法配偶第一順位繼承權。廖光輝百年之時，母親先切走剩餘財產一半，剩下遺產再與子女均分；小三湛明輝在法律上為完全局外人，一毛遺產都分不到！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 xml:space="preserve">• </w:t>
      </w:r>
      <w:r>
        <w:rPr>
          <w:rFonts w:ascii="PingFang TC" w:hAnsi="PingFang TC"/>
          <w:b/>
          <w:color w:val="D97706"/>
          <w:sz w:val="21"/>
        </w:rPr>
        <w:t>策略 B：反訴離婚（即刻落袋・強制清算）【防脫產】</w:t>
      </w:r>
      <w:r>
        <w:rPr>
          <w:rFonts w:ascii="PingFang TC" w:hAnsi="PingFang TC"/>
          <w:b w:val="0"/>
          <w:color w:val="2D3748"/>
          <w:sz w:val="21"/>
        </w:rPr>
        <w:t>：若發現廖光輝正急速將資產洗給湛明輝，立即發動反訴，全面假扣押查封資產，強迫湛明輝吐出差額，即刻將數千萬產權與存款過戶至母親名下設立安養信託。</w:t>
      </w:r>
    </w:p>
    <w:p>
      <w:pPr>
        <w:spacing w:before="280" w:after="80"/>
      </w:pPr>
      <w:r>
        <w:rPr>
          <w:rFonts w:ascii="PingFang TC" w:hAnsi="PingFang TC"/>
          <w:b/>
          <w:color w:val="DE5814"/>
          <w:sz w:val="32"/>
        </w:rPr>
        <w:t>貳、【程序篇】法院訴訟與財產保全三大法定程序</w:t>
      </w:r>
    </w:p>
    <w:p>
      <w:pPr>
        <w:spacing w:before="200" w:after="80"/>
      </w:pPr>
      <w:r>
        <w:rPr>
          <w:rFonts w:ascii="PingFang TC" w:hAnsi="PingFang TC"/>
          <w:b/>
          <w:color w:val="A83212"/>
          <w:sz w:val="26"/>
        </w:rPr>
        <w:t>2.1 家事法院【監護宣告程序】（民法第 14 條）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母親因進行性神經退化已無意思辨識能力，由子女向法院聲請監護宣告，指定子女為法定監護人兼法定代理人。此程序能</w:t>
      </w:r>
      <w:r>
        <w:rPr>
          <w:rFonts w:ascii="PingFang TC" w:hAnsi="PingFang TC"/>
          <w:b/>
          <w:color w:val="D97706"/>
          <w:sz w:val="21"/>
        </w:rPr>
        <w:t>徹底阻斷廖光輝私下誘騙母親簽署離婚協議書或拋棄財產切結書</w:t>
      </w:r>
      <w:r>
        <w:rPr>
          <w:rFonts w:ascii="PingFang TC" w:hAnsi="PingFang TC"/>
          <w:b w:val="0"/>
          <w:color w:val="2D3748"/>
          <w:sz w:val="21"/>
        </w:rPr>
        <w:t>，且母親私簽之任何文件在法律上一律自始無效；未來所有法庭攻防均由監護人代表出席。</w:t>
      </w:r>
    </w:p>
    <w:p>
      <w:pPr>
        <w:spacing w:before="200" w:after="80"/>
      </w:pPr>
      <w:r>
        <w:rPr>
          <w:rFonts w:ascii="PingFang TC" w:hAnsi="PingFang TC"/>
          <w:b/>
          <w:color w:val="A83212"/>
          <w:sz w:val="26"/>
        </w:rPr>
        <w:t>2.2 防範洗錢脫產：法院【假扣押保全程序】與【暫時處分】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為防止湛明輝將到手的房地產緊急轉售給不知情善意第三人，律師應立即向法院聲請「假扣押裁定」，全面查封廖光輝與湛明輝名下不動產與銀行帳戶；同步依民法第1116-1條聲請暫時處分，命廖光輝於判決前按月支付外籍看護薪資與生活醫療費。</w:t>
      </w:r>
    </w:p>
    <w:p>
      <w:pPr>
        <w:spacing w:before="200" w:after="80"/>
      </w:pPr>
      <w:r>
        <w:rPr>
          <w:rFonts w:ascii="PingFang TC" w:hAnsi="PingFang TC"/>
          <w:b/>
          <w:color w:val="A83212"/>
          <w:sz w:val="26"/>
        </w:rPr>
        <w:t>2.3 實體審判裁判程序：多管齊下反擊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在家事法庭開庭時，由監護人代表出庭，主張民法第1052條但書拒絕無理離婚；同步合併提起夫妻剩餘財產分配反訴、追討湛明輝追加資產、以及共同訴請侵害配偶權之損害賠償。</w:t>
      </w:r>
    </w:p>
    <w:p>
      <w:pPr>
        <w:spacing w:before="280" w:after="80"/>
      </w:pPr>
      <w:r>
        <w:rPr>
          <w:rFonts w:ascii="PingFang TC" w:hAnsi="PingFang TC"/>
          <w:b/>
          <w:color w:val="DE5814"/>
          <w:sz w:val="32"/>
        </w:rPr>
        <w:t>參、【方法篇】爭取權益與賠償金最大化的四大實體請求方法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A83212"/>
              </w:rPr>
              <w:t>求償方法項目</w:t>
            </w:r>
          </w:p>
        </w:tc>
        <w:tc>
          <w:tcPr>
            <w:tcW w:type="dxa" w:w="2353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A83212"/>
              </w:rPr>
              <w:t>民法條文依據</w:t>
            </w:r>
          </w:p>
        </w:tc>
        <w:tc>
          <w:tcPr>
            <w:tcW w:type="dxa" w:w="2353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A83212"/>
              </w:rPr>
              <w:t>具體求償方法與實務計算</w:t>
            </w:r>
          </w:p>
        </w:tc>
        <w:tc>
          <w:tcPr>
            <w:tcW w:type="dxa" w:w="2353"/>
            <w:shd w:fill="FEF3C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A83212"/>
              </w:rPr>
              <w:t>預估效益與戰略定位</w:t>
            </w:r>
          </w:p>
        </w:tc>
      </w:tr>
      <w:tr>
        <w:tc>
          <w:tcPr>
            <w:tcW w:type="dxa" w:w="2353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b/>
                <w:color w:val="DE5814"/>
                <w:sz w:val="19"/>
              </w:rPr>
              <w:t>一、夫妻剩餘財產分配請求權</w:t>
            </w:r>
          </w:p>
        </w:tc>
        <w:tc>
          <w:tcPr>
            <w:tcW w:type="dxa" w:w="2353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color w:val="2D3748"/>
                <w:sz w:val="19"/>
              </w:rPr>
              <w:t>民法第 1030 條之 1</w:t>
            </w:r>
          </w:p>
        </w:tc>
        <w:tc>
          <w:tcPr>
            <w:tcW w:type="dxa" w:w="2353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color w:val="2D3748"/>
                <w:sz w:val="19"/>
              </w:rPr>
              <w:t>清查雙方現存婚後財產扣除負債後差額平均分配。五十年婚姻積累之房地產與存款，母親依法享有差額 50% 請求權。</w:t>
            </w:r>
          </w:p>
        </w:tc>
        <w:tc>
          <w:tcPr>
            <w:tcW w:type="dxa" w:w="2353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b/>
                <w:color w:val="A83212"/>
                <w:sz w:val="19"/>
              </w:rPr>
              <w:t>【金額最大宗・佔90%以上】</w:t>
              <w:br/>
              <w:t>數百萬至數千萬元法定產權，為母親晚年生活最堅實保障。</w:t>
            </w:r>
          </w:p>
        </w:tc>
      </w:tr>
      <w:tr>
        <w:tc>
          <w:tcPr>
            <w:tcW w:type="dxa" w:w="2353"/>
            <w:shd w:fill="FFFD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b/>
                <w:color w:val="DE5814"/>
                <w:sz w:val="19"/>
              </w:rPr>
              <w:t>二、追討第三者條款（追加計算）</w:t>
            </w:r>
          </w:p>
        </w:tc>
        <w:tc>
          <w:tcPr>
            <w:tcW w:type="dxa" w:w="2353"/>
            <w:shd w:fill="FFFD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color w:val="2D3748"/>
                <w:sz w:val="19"/>
              </w:rPr>
              <w:t>民法第 1030 條之 3</w:t>
              <w:br/>
              <w:t>民法第 1020 條之 1</w:t>
            </w:r>
          </w:p>
        </w:tc>
        <w:tc>
          <w:tcPr>
            <w:tcW w:type="dxa" w:w="2353"/>
            <w:shd w:fill="FFFD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color w:val="2D3748"/>
                <w:sz w:val="19"/>
              </w:rPr>
              <w:t>起訴前五年內，廖光輝為減少分配無償移轉予湛明輝之資產，全數追加計算為廖光輝現存財產！若不夠返還，法院直接判命「湛明輝代為吐出差額返還母親」！一年內贈與更得直接訴請撤銷。</w:t>
            </w:r>
          </w:p>
        </w:tc>
        <w:tc>
          <w:tcPr>
            <w:tcW w:type="dxa" w:w="2353"/>
            <w:shd w:fill="FFFD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b/>
                <w:color w:val="A83212"/>
                <w:sz w:val="19"/>
              </w:rPr>
              <w:t>【破解脫產殺手鐧】</w:t>
              <w:br/>
              <w:t>搬給湛明輝的現金房產全數追回計入，讓第三者白忙一場。</w:t>
            </w:r>
          </w:p>
        </w:tc>
      </w:tr>
      <w:tr>
        <w:tc>
          <w:tcPr>
            <w:tcW w:type="dxa" w:w="2353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b/>
                <w:color w:val="DE5814"/>
                <w:sz w:val="19"/>
              </w:rPr>
              <w:t>三、侵害配偶權連帶精神撫慰金</w:t>
            </w:r>
          </w:p>
        </w:tc>
        <w:tc>
          <w:tcPr>
            <w:tcW w:type="dxa" w:w="2353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color w:val="2D3748"/>
                <w:sz w:val="19"/>
              </w:rPr>
              <w:t>民法第 184 條</w:t>
              <w:br/>
              <w:t>民法第 195 條第 3 項</w:t>
            </w:r>
          </w:p>
        </w:tc>
        <w:tc>
          <w:tcPr>
            <w:tcW w:type="dxa" w:w="2353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color w:val="2D3748"/>
                <w:sz w:val="19"/>
              </w:rPr>
              <w:t>共同提告廖光輝與湛明輝為連帶共同被告。舉證兩人同居出入、親暱對話。審酌母親八旬重病遭背叛之重大痛苦，判令兩人連帶賠償。</w:t>
            </w:r>
          </w:p>
        </w:tc>
        <w:tc>
          <w:tcPr>
            <w:tcW w:type="dxa" w:w="2353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b/>
                <w:color w:val="A83212"/>
                <w:sz w:val="19"/>
              </w:rPr>
              <w:t>【直擊第三者連帶賠償】</w:t>
              <w:br/>
              <w:t>實務判賠金額普遍落於 60 萬 ～ 100 萬元。</w:t>
            </w:r>
          </w:p>
        </w:tc>
      </w:tr>
      <w:tr>
        <w:tc>
          <w:tcPr>
            <w:tcW w:type="dxa" w:w="2353"/>
            <w:shd w:fill="FFFD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b/>
                <w:color w:val="DE5814"/>
                <w:sz w:val="19"/>
              </w:rPr>
              <w:t>四、離婚損害賠償與終身贍養費</w:t>
            </w:r>
          </w:p>
        </w:tc>
        <w:tc>
          <w:tcPr>
            <w:tcW w:type="dxa" w:w="2353"/>
            <w:shd w:fill="FFFD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color w:val="2D3748"/>
                <w:sz w:val="19"/>
              </w:rPr>
              <w:t>民法第 1056 條</w:t>
              <w:br/>
              <w:t>民法第 1057 條</w:t>
            </w:r>
          </w:p>
        </w:tc>
        <w:tc>
          <w:tcPr>
            <w:tcW w:type="dxa" w:w="2353"/>
            <w:shd w:fill="FFFD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color w:val="2D3748"/>
                <w:sz w:val="19"/>
              </w:rPr>
              <w:t>判決離婚非財產損害賠償（20萬~80萬）；加計母親八旬失智、無謀生能力，判命廖光輝按月全額給付外籍看護薪資（約3.5萬）與終身照護費，或一次性提撥數百萬贍養基金。</w:t>
            </w:r>
          </w:p>
        </w:tc>
        <w:tc>
          <w:tcPr>
            <w:tcW w:type="dxa" w:w="2353"/>
            <w:shd w:fill="FFFDF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PingFang TC" w:hAnsi="PingFang TC"/>
                <w:b/>
                <w:color w:val="A83212"/>
                <w:sz w:val="19"/>
              </w:rPr>
              <w:t>【終身全額保障尊嚴】</w:t>
              <w:br/>
              <w:t>外籍看護月薪與安養醫療費由男方全額埋單。</w:t>
            </w:r>
          </w:p>
        </w:tc>
      </w:tr>
    </w:tbl>
    <w:p>
      <w:pPr>
        <w:spacing w:before="280" w:after="80"/>
      </w:pPr>
      <w:r>
        <w:rPr>
          <w:rFonts w:ascii="PingFang TC" w:hAnsi="PingFang TC"/>
          <w:b/>
          <w:color w:val="DE5814"/>
          <w:sz w:val="32"/>
        </w:rPr>
        <w:t>肆、【步驟篇】家屬即刻行動 6 大實施步驟（SOP）</w:t>
      </w:r>
    </w:p>
    <w:p>
      <w:pPr>
        <w:spacing w:before="200" w:after="80"/>
      </w:pPr>
      <w:r>
        <w:rPr>
          <w:rFonts w:ascii="PingFang TC" w:hAnsi="PingFang TC"/>
          <w:b/>
          <w:color w:val="A83212"/>
          <w:sz w:val="26"/>
        </w:rPr>
        <w:t>步驟 1：前往戶籍地區公所領取【身心障礙鑑定表】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攜帶證件：母親身分證正本、印章、1吋照片3張、代辦人身分證與印章。先領取空白表格，以利看診當天在台中榮總同步完成醫療鑑定，免除多跑一趟公所。</w:t>
      </w:r>
    </w:p>
    <w:p>
      <w:pPr>
        <w:spacing w:before="200" w:after="80"/>
      </w:pPr>
      <w:r>
        <w:rPr>
          <w:rFonts w:ascii="PingFang TC" w:hAnsi="PingFang TC"/>
          <w:b/>
          <w:color w:val="A83212"/>
          <w:sz w:val="26"/>
        </w:rPr>
        <w:t>步驟 2：台中榮總神經內科就醫開立「精準專業診斷書」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依律師指示，請醫師在【乙種診斷證明書】中具體載明以下專業神經醫學術語與法定關鍵字：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1. 精確病名：載明「阿茲海默型失智症／進行性腦神經退化症」伴隨「嚴重認知功能障礙（Severe Cognitive Impairment）」。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2. 記憶力與定向感：載明「近期與遠期記憶力顯著缺損，無法回憶重大生活與金錢事件」、「人、時、地定向感顯著喪失（Disorientation）」。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3. 智力與判斷力：載明「抽象思考、計算能力與判斷力嚴重衰退」。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4. 客觀量表指標：務必列出「臨床失智評估量表（CDR）＝ 1分以上」及 MMSE 測驗分數。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5. 生活自理能力：載明「日常生活活動能力完全喪失，需專人24小時全天候看護照料」。</w:t>
      </w:r>
    </w:p>
    <w:p>
      <w:pPr>
        <w:spacing w:before="40" w:after="80" w:line="300" w:lineRule="auto"/>
      </w:pPr>
      <w:r>
        <w:rPr>
          <w:rFonts w:ascii="PingFang TC" w:hAnsi="PingFang TC"/>
          <w:b/>
          <w:color w:val="D97706"/>
          <w:sz w:val="21"/>
        </w:rPr>
        <w:t>6. ★ 法院定錨關鍵字（最重要的一句話）：</w:t>
      </w:r>
      <w:r>
        <w:rPr>
          <w:rFonts w:ascii="PingFang TC" w:hAnsi="PingFang TC"/>
          <w:b w:val="0"/>
          <w:color w:val="2D3748"/>
          <w:sz w:val="21"/>
        </w:rPr>
        <w:t>請醫師於醫囑載明：「病人因腦神經退化致心智缺陷與精神障礙，</w:t>
      </w:r>
      <w:r>
        <w:rPr>
          <w:rFonts w:ascii="PingFang TC" w:hAnsi="PingFang TC"/>
          <w:b/>
          <w:color w:val="D97706"/>
          <w:sz w:val="21"/>
        </w:rPr>
        <w:t>致不能為意思表示或受意思表示，已無獨立處理自己事務之能力</w:t>
      </w:r>
      <w:r>
        <w:rPr>
          <w:rFonts w:ascii="PingFang TC" w:hAnsi="PingFang TC"/>
          <w:b w:val="0"/>
          <w:color w:val="2D3748"/>
          <w:sz w:val="21"/>
        </w:rPr>
        <w:t>。」（民法第14條監護宣告法定要件）。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★ 同步於台中榮總第一醫療大樓一樓身障窗口遞交身障鑑定表，院方專人送衛生局審核發證。</w:t>
      </w:r>
    </w:p>
    <w:p>
      <w:pPr>
        <w:spacing w:before="200" w:after="80"/>
      </w:pPr>
      <w:r>
        <w:rPr>
          <w:rFonts w:ascii="PingFang TC" w:hAnsi="PingFang TC"/>
          <w:b/>
          <w:color w:val="A83212"/>
          <w:sz w:val="26"/>
        </w:rPr>
        <w:t>步驟 3：地政事務所與國稅局「調證查底牌」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1. 地政異動索引：至地政事務所申請廖光輝過去持有房產的「地籍異動索引」，查明房產在何時、以何原因過戶登記給湛明輝（脫產鐵證）。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2. 國稅局總歸戶與所得清單：調閱廖光輝名下之「全國財產稅總歸戶清單」與「近三年綜合所得稅各類所得清單」（從利息所得反推巨額定存帳戶，從股利反推股票庫存）。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3. 近五年贈與稅清單：查明廖光輝過去五年是否有申報贈與給湛明輝之紀錄；若私下轉帳未申報，可作為法院調查資金流向之重要線索。</w:t>
      </w:r>
    </w:p>
    <w:p>
      <w:pPr>
        <w:spacing w:before="200" w:after="80"/>
      </w:pPr>
      <w:r>
        <w:rPr>
          <w:rFonts w:ascii="PingFang TC" w:hAnsi="PingFang TC"/>
          <w:b/>
          <w:color w:val="A83212"/>
          <w:sz w:val="26"/>
        </w:rPr>
        <w:t>步驟 4：向家事法院具狀聲請【監護宣告】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檢附榮總診斷書與戶籍謄本，由子女向法院聲請對母親做監護宣告並由子女擔任法定代理人，依法全面掌控訴訟防線與資產管理。</w:t>
      </w:r>
    </w:p>
    <w:p>
      <w:pPr>
        <w:spacing w:before="200" w:after="80"/>
      </w:pPr>
      <w:r>
        <w:rPr>
          <w:rFonts w:ascii="PingFang TC" w:hAnsi="PingFang TC"/>
          <w:b/>
          <w:color w:val="A83212"/>
          <w:sz w:val="26"/>
        </w:rPr>
        <w:t>步驟 5：委請律師發動【假扣押】與【暫時處分】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對廖光輝與湛明輝名下已知不動產與存款聲請假扣押查封，禁止買賣、移轉或脫產；同步聲請暫時處分，命令廖光輝按月匯給外籍看護薪資與生活費。</w:t>
      </w:r>
    </w:p>
    <w:p>
      <w:pPr>
        <w:spacing w:before="200" w:after="80"/>
      </w:pPr>
      <w:r>
        <w:rPr>
          <w:rFonts w:ascii="PingFang TC" w:hAnsi="PingFang TC"/>
          <w:b/>
          <w:color w:val="A83212"/>
          <w:sz w:val="26"/>
        </w:rPr>
        <w:t>步驟 6：實體訴訟反擊、共同求償與分產談判</w:t>
      </w:r>
    </w:p>
    <w:p>
      <w:pPr>
        <w:spacing w:before="40" w:after="80" w:line="300" w:lineRule="auto"/>
      </w:pPr>
      <w:r>
        <w:rPr>
          <w:rFonts w:ascii="PingFang TC" w:hAnsi="PingFang TC"/>
          <w:b w:val="0"/>
          <w:color w:val="2D3748"/>
          <w:sz w:val="21"/>
        </w:rPr>
        <w:t>共同起訴廖光輝與湛明輝侵害配偶權（求償百萬）；在家事法庭開庭時，依選定戰略（策略A以拖待變保全繼承權，或策略B反訴全面清算並依民法1030-3追討湛明輝名下資產），爭取母親最大化之權益！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