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A83212"/>
          <w:sz w:val="44"/>
        </w:rPr>
        <w:t>廖倫豪 博士 (Howard Liao, Ph.D.)</w:t>
      </w:r>
    </w:p>
    <w:p>
      <w:pPr>
        <w:spacing w:before="0" w:after="120"/>
      </w:pPr>
      <w:r>
        <w:rPr>
          <w:b/>
          <w:color w:val="DE5814"/>
          <w:sz w:val="22"/>
        </w:rPr>
        <w:t>前線部署 AI 架構師 暨 數位轉型資本配置操盤手 (Forward-Deployed AI &amp; Enterprise Capital Allocator)</w:t>
        <w:br/>
        <w:t>技術副總 (VP) / 資訊長 (CIO) / 資安長 (CISO) / 數據AI長 (CDAIO) ｜ Player-Coach 實戰型科技高管</w:t>
      </w:r>
    </w:p>
    <w:p>
      <w:pPr>
        <w:spacing w:before="0" w:after="280"/>
      </w:pPr>
      <w:r>
        <w:rPr>
          <w:color w:val="64748B"/>
          <w:sz w:val="19"/>
        </w:rPr>
        <w:t>📱 +886-975-323161 ｜ ✉️ Liao.Howard@gmail.com ｜ 🌐 戰略作品集：https://howardliao.github.io/Howard.github.io/</w:t>
        <w:br/>
        <w:t>📍 核心據點：台灣 (台北/新竹/台中/高雄) ｜ 🌍 全球足跡：美、日、歐、大中華跨國團隊治理</w:t>
      </w:r>
    </w:p>
    <w:p>
      <w:pPr>
        <w:keepNext/>
        <w:spacing w:before="280" w:after="120"/>
      </w:pPr>
      <w:r>
        <w:rPr>
          <w:b/>
          <w:color w:val="A83212"/>
          <w:sz w:val="26"/>
        </w:rPr>
        <w:t>一、高階執行摘要與 2026 C-Level 戰略定位 (Executive Summary)</w:t>
      </w:r>
    </w:p>
    <w:tbl>
      <w:tblPr>
        <w:tblW w:type="auto" w:w="0"/>
        <w:jc w:val="center"/>
        <w:tblLayout w:type="fixed"/>
        <w:tblLook w:firstColumn="1" w:firstRow="1" w:lastColumn="0" w:lastRow="0" w:noHBand="0" w:noVBand="1" w:val="04A0"/>
      </w:tblPr>
      <w:tblGrid>
        <w:gridCol w:w="9749"/>
      </w:tblGrid>
      <w:tr>
        <w:tc>
          <w:tcPr>
            <w:tcW w:type="dxa" w:w="9749"/>
            <w:shd w:fill="FFFBEB"/>
            <w:tcMar>
              <w:top w:w="160" w:type="dxa"/>
              <w:bottom w:w="160" w:type="dxa"/>
              <w:left w:w="200" w:type="dxa"/>
              <w:right w:w="200" w:type="dxa"/>
            </w:tcMar>
            <w:tcBorders>
              <w:top w:val="none"/>
              <w:left w:val="single" w:sz="24" w:space="0" w:color="DE5814"/>
              <w:bottom w:val="none"/>
              <w:right w:val="none"/>
              <w:insideH w:val="none"/>
              <w:insideV w:val="none"/>
            </w:tcBorders>
          </w:tcPr>
          <w:p>
            <w:pPr>
              <w:spacing w:before="0" w:after="0"/>
            </w:pPr>
            <w:r>
              <w:rPr>
                <w:b/>
                <w:color w:val="DE5814"/>
              </w:rPr>
              <w:t>「算力與電力即是營收（Compute is Revenue），科技架構必須成為抵禦市場波動的裝甲。」</w:t>
              <w:br/>
            </w:r>
            <w:r>
              <w:rPr>
                <w:color w:val="2D3748"/>
                <w:sz w:val="19"/>
              </w:rPr>
              <w:t>我是廖倫豪 (Howard Liao) 博士。具備 20+ 年跨產業（智慧製造、上市櫃數位娛樂、美商軟體外商）資歷與資訊科技管理博士背景。不同於紙上談兵的高管，本人具備 Player-Coach 實務推進特質——能以董事會語言（OGSM / EBITDA / TCO）主導戰略，更能親自深入前線業務核心，帶領敏捷團隊將複雜商業問題轉譯為具備生產力級穩定性（Production-grade）的 Agentic AI 自主代理、多雲容器化 (GKE/EKS) 與數據治理中樞。嚴格對齊 ISO 42001 與 NIST AI RMF，精準劃定安全紅線，將科技投資轉化為具體提升企業毛利與現金流的戰略資產。</w:t>
            </w:r>
          </w:p>
        </w:tc>
      </w:tr>
    </w:tbl>
    <w:p>
      <w:pPr>
        <w:spacing w:after="80"/>
      </w:pP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434"/>
            <w:shd w:fill="2D3748"/>
            <w:tcMar>
              <w:top w:w="120" w:type="dxa"/>
              <w:bottom w:w="60" w:type="dxa"/>
              <w:left w:w="100" w:type="dxa"/>
              <w:right w:w="100" w:type="dxa"/>
            </w:tcMar>
          </w:tcPr>
          <w:p>
            <w:pPr>
              <w:jc w:val="center"/>
            </w:pPr>
            <w:r>
              <w:rPr>
                <w:b/>
                <w:color w:val="FFFFFF"/>
                <w:sz w:val="28"/>
              </w:rPr>
              <w:t>20+ Yrs</w:t>
            </w:r>
          </w:p>
        </w:tc>
        <w:tc>
          <w:tcPr>
            <w:tcW w:type="dxa" w:w="2434"/>
            <w:shd w:fill="2D3748"/>
            <w:tcMar>
              <w:top w:w="120" w:type="dxa"/>
              <w:bottom w:w="60" w:type="dxa"/>
              <w:left w:w="100" w:type="dxa"/>
              <w:right w:w="100" w:type="dxa"/>
            </w:tcMar>
          </w:tcPr>
          <w:p>
            <w:pPr>
              <w:jc w:val="center"/>
            </w:pPr>
            <w:r>
              <w:rPr>
                <w:b/>
                <w:color w:val="FFFFFF"/>
                <w:sz w:val="28"/>
              </w:rPr>
              <w:t>30%</w:t>
            </w:r>
          </w:p>
        </w:tc>
        <w:tc>
          <w:tcPr>
            <w:tcW w:type="dxa" w:w="2434"/>
            <w:shd w:fill="2D3748"/>
            <w:tcMar>
              <w:top w:w="120" w:type="dxa"/>
              <w:bottom w:w="60" w:type="dxa"/>
              <w:left w:w="100" w:type="dxa"/>
              <w:right w:w="100" w:type="dxa"/>
            </w:tcMar>
          </w:tcPr>
          <w:p>
            <w:pPr>
              <w:jc w:val="center"/>
            </w:pPr>
            <w:r>
              <w:rPr>
                <w:b/>
                <w:color w:val="FFFFFF"/>
                <w:sz w:val="28"/>
              </w:rPr>
              <w:t>55%</w:t>
            </w:r>
          </w:p>
        </w:tc>
        <w:tc>
          <w:tcPr>
            <w:tcW w:type="dxa" w:w="2434"/>
            <w:shd w:fill="2D3748"/>
            <w:tcMar>
              <w:top w:w="120" w:type="dxa"/>
              <w:bottom w:w="60" w:type="dxa"/>
              <w:left w:w="100" w:type="dxa"/>
              <w:right w:w="100" w:type="dxa"/>
            </w:tcMar>
          </w:tcPr>
          <w:p>
            <w:pPr>
              <w:jc w:val="center"/>
            </w:pPr>
            <w:r>
              <w:rPr>
                <w:b/>
                <w:color w:val="FFFFFF"/>
                <w:sz w:val="28"/>
              </w:rPr>
              <w:t>99.9%</w:t>
            </w:r>
          </w:p>
        </w:tc>
      </w:tr>
      <w:tr>
        <w:tc>
          <w:tcPr>
            <w:tcW w:type="dxa" w:w="2434"/>
            <w:shd w:fill="F8FAFC"/>
            <w:tcMar>
              <w:top w:w="60" w:type="dxa"/>
              <w:bottom w:w="120" w:type="dxa"/>
              <w:left w:w="100" w:type="dxa"/>
              <w:right w:w="100" w:type="dxa"/>
            </w:tcMar>
            <w:tcBorders>
              <w:top w:val="none"/>
              <w:left w:val="none"/>
              <w:bottom w:val="single" w:sz="4" w:space="0" w:color="CBD5E1"/>
              <w:right w:val="none"/>
              <w:insideH w:val="none"/>
              <w:insideV w:val="none"/>
            </w:tcBorders>
          </w:tcPr>
          <w:p>
            <w:pPr>
              <w:jc w:val="center"/>
            </w:pPr>
            <w:r>
              <w:rPr>
                <w:b/>
                <w:color w:val="2D3748"/>
                <w:sz w:val="17"/>
              </w:rPr>
              <w:t>跨產業全球 IT 管理</w:t>
              <w:br/>
            </w:r>
            <w:r>
              <w:rPr>
                <w:color w:val="64748B"/>
                <w:sz w:val="15"/>
              </w:rPr>
              <w:t>橫跨製造、遊戲、外商軟體</w:t>
            </w:r>
          </w:p>
        </w:tc>
        <w:tc>
          <w:tcPr>
            <w:tcW w:type="dxa" w:w="2434"/>
            <w:shd w:fill="F8FAFC"/>
            <w:tcMar>
              <w:top w:w="60" w:type="dxa"/>
              <w:bottom w:w="120" w:type="dxa"/>
              <w:left w:w="100" w:type="dxa"/>
              <w:right w:w="100" w:type="dxa"/>
            </w:tcMar>
            <w:tcBorders>
              <w:top w:val="none"/>
              <w:left w:val="none"/>
              <w:bottom w:val="single" w:sz="4" w:space="0" w:color="CBD5E1"/>
              <w:right w:val="none"/>
              <w:insideH w:val="none"/>
              <w:insideV w:val="none"/>
            </w:tcBorders>
          </w:tcPr>
          <w:p>
            <w:pPr>
              <w:jc w:val="center"/>
            </w:pPr>
            <w:r>
              <w:rPr>
                <w:b/>
                <w:color w:val="2D3748"/>
                <w:sz w:val="17"/>
              </w:rPr>
              <w:t>多雲持有成本優化</w:t>
              <w:br/>
            </w:r>
            <w:r>
              <w:rPr>
                <w:color w:val="64748B"/>
                <w:sz w:val="15"/>
              </w:rPr>
              <w:t>FinOps 財務治理、GKE 調度</w:t>
            </w:r>
          </w:p>
        </w:tc>
        <w:tc>
          <w:tcPr>
            <w:tcW w:type="dxa" w:w="2434"/>
            <w:shd w:fill="F8FAFC"/>
            <w:tcMar>
              <w:top w:w="60" w:type="dxa"/>
              <w:bottom w:w="120" w:type="dxa"/>
              <w:left w:w="100" w:type="dxa"/>
              <w:right w:w="100" w:type="dxa"/>
            </w:tcMar>
            <w:tcBorders>
              <w:top w:val="none"/>
              <w:left w:val="none"/>
              <w:bottom w:val="single" w:sz="4" w:space="0" w:color="CBD5E1"/>
              <w:right w:val="none"/>
              <w:insideH w:val="none"/>
              <w:insideV w:val="none"/>
            </w:tcBorders>
          </w:tcPr>
          <w:p>
            <w:pPr>
              <w:jc w:val="center"/>
            </w:pPr>
            <w:r>
              <w:rPr>
                <w:b/>
                <w:color w:val="2D3748"/>
                <w:sz w:val="17"/>
              </w:rPr>
              <w:t>Agentic AI 流程提效</w:t>
              <w:br/>
            </w:r>
            <w:r>
              <w:rPr>
                <w:color w:val="64748B"/>
                <w:sz w:val="15"/>
              </w:rPr>
              <w:t>自主代理工作流實戰落地</w:t>
            </w:r>
          </w:p>
        </w:tc>
        <w:tc>
          <w:tcPr>
            <w:tcW w:type="dxa" w:w="2434"/>
            <w:shd w:fill="F8FAFC"/>
            <w:tcMar>
              <w:top w:w="60" w:type="dxa"/>
              <w:bottom w:w="120" w:type="dxa"/>
              <w:left w:w="100" w:type="dxa"/>
              <w:right w:w="100" w:type="dxa"/>
            </w:tcMar>
            <w:tcBorders>
              <w:top w:val="none"/>
              <w:left w:val="none"/>
              <w:bottom w:val="single" w:sz="4" w:space="0" w:color="CBD5E1"/>
              <w:right w:val="none"/>
              <w:insideH w:val="none"/>
              <w:insideV w:val="none"/>
            </w:tcBorders>
          </w:tcPr>
          <w:p>
            <w:pPr>
              <w:jc w:val="center"/>
            </w:pPr>
            <w:r>
              <w:rPr>
                <w:b/>
                <w:color w:val="2D3748"/>
                <w:sz w:val="17"/>
              </w:rPr>
              <w:t>核心系統可用性</w:t>
              <w:br/>
            </w:r>
            <w:r>
              <w:rPr>
                <w:color w:val="64748B"/>
                <w:sz w:val="15"/>
              </w:rPr>
              <w:t>Zero Outage 高可用營運架構</w:t>
            </w:r>
          </w:p>
        </w:tc>
      </w:tr>
    </w:tbl>
    <w:p>
      <w:pPr>
        <w:keepNext/>
        <w:spacing w:before="280" w:after="120"/>
      </w:pPr>
      <w:r>
        <w:rPr>
          <w:b/>
          <w:color w:val="A83212"/>
          <w:sz w:val="26"/>
        </w:rPr>
        <w:t>二、五大高管核心職能與量化價值矩陣 (Core Competency Matrix)</w:t>
      </w:r>
    </w:p>
    <w:tbl>
      <w:tblPr>
        <w:tblW w:type="auto" w:w="0"/>
        <w:jc w:val="center"/>
        <w:tblLayout w:type="fixed"/>
        <w:tblLook w:firstColumn="1" w:firstRow="1" w:lastColumn="0" w:lastRow="0" w:noHBand="0" w:noVBand="1" w:val="04A0"/>
      </w:tblPr>
      <w:tblGrid>
        <w:gridCol w:w="3250"/>
        <w:gridCol w:w="3250"/>
        <w:gridCol w:w="3250"/>
      </w:tblGrid>
      <w:tr>
        <w:tc>
          <w:tcPr>
            <w:tcW w:type="dxa" w:w="2592"/>
            <w:shd w:fill="DE5814"/>
            <w:tcMar>
              <w:top w:w="120" w:type="dxa"/>
              <w:bottom w:w="120" w:type="dxa"/>
              <w:left w:w="120" w:type="dxa"/>
              <w:right w:w="120" w:type="dxa"/>
            </w:tcMar>
          </w:tcPr>
          <w:p>
            <w:r>
              <w:rPr>
                <w:b/>
                <w:color w:val="FFFFFF"/>
                <w:sz w:val="19"/>
              </w:rPr>
              <w:t>核心職能維度</w:t>
            </w:r>
          </w:p>
        </w:tc>
        <w:tc>
          <w:tcPr>
            <w:tcW w:type="dxa" w:w="3888"/>
            <w:shd w:fill="DE5814"/>
            <w:tcMar>
              <w:top w:w="120" w:type="dxa"/>
              <w:bottom w:w="120" w:type="dxa"/>
              <w:left w:w="120" w:type="dxa"/>
              <w:right w:w="120" w:type="dxa"/>
            </w:tcMar>
          </w:tcPr>
          <w:p>
            <w:r>
              <w:rPr>
                <w:b/>
                <w:color w:val="FFFFFF"/>
                <w:sz w:val="19"/>
              </w:rPr>
              <w:t>C-Level 戰略治理深度</w:t>
            </w:r>
          </w:p>
        </w:tc>
        <w:tc>
          <w:tcPr>
            <w:tcW w:type="dxa" w:w="3269"/>
            <w:shd w:fill="DE5814"/>
            <w:tcMar>
              <w:top w:w="120" w:type="dxa"/>
              <w:bottom w:w="120" w:type="dxa"/>
              <w:left w:w="120" w:type="dxa"/>
              <w:right w:w="120" w:type="dxa"/>
            </w:tcMar>
          </w:tcPr>
          <w:p>
            <w:r>
              <w:rPr>
                <w:b/>
                <w:color w:val="FFFFFF"/>
                <w:sz w:val="19"/>
              </w:rPr>
              <w:t>可驗證量化效益與實戰產出</w:t>
            </w:r>
          </w:p>
        </w:tc>
      </w:tr>
      <w:tr>
        <w:tc>
          <w:tcPr>
            <w:tcW w:type="dxa" w:w="2592"/>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b/>
                <w:color w:val="2D3748"/>
                <w:sz w:val="17"/>
              </w:rPr>
              <w:t>前線部署 AI 架構</w:t>
              <w:br/>
              <w:t>(Forward-Deployed AI)</w:t>
            </w:r>
          </w:p>
        </w:tc>
        <w:tc>
          <w:tcPr>
            <w:tcW w:type="dxa" w:w="3888"/>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拒絕紙上談兵，親赴第一線業務核心，帶領敏捷團隊將業務痛點轉化為生產力級 Agentic AI 自主代理，落實 ISO 42001 (AIMS) 與 NIST AI RMF 安全紅線。</w:t>
            </w:r>
          </w:p>
        </w:tc>
        <w:tc>
          <w:tcPr>
            <w:tcW w:type="dxa" w:w="3269"/>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 組織流程自動化提效 55%</w:t>
              <w:br/>
              <w:t>• 專案開發商用週期縮短 20%</w:t>
              <w:br/>
              <w:t>• 嚴格防範資料外洩與 Prompt 注入</w:t>
            </w:r>
          </w:p>
        </w:tc>
      </w:tr>
      <w:tr>
        <w:tc>
          <w:tcPr>
            <w:tcW w:type="dxa" w:w="2592"/>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b/>
                <w:color w:val="2D3748"/>
                <w:sz w:val="17"/>
              </w:rPr>
              <w:t>多雲架構與 FinOps</w:t>
              <w:br/>
              <w:t>財務營運治理</w:t>
            </w:r>
          </w:p>
        </w:tc>
        <w:tc>
          <w:tcPr>
            <w:tcW w:type="dxa" w:w="3888"/>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主導 GCP / AWS 跨雲整合、GKE 容器化與 MongoDB Atlas 現代化，結合 Cloud Load Balancing 智慧分流與 Autoscaling，精準控制預算與 ROI。</w:t>
            </w:r>
          </w:p>
        </w:tc>
        <w:tc>
          <w:tcPr>
            <w:tcW w:type="dxa" w:w="3269"/>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 多雲整體持有成本 (TCO) 降低 30%</w:t>
              <w:br/>
              <w:t>• 部署交付速度提升 100%</w:t>
              <w:br/>
              <w:t>• 核心平台保持 100% Zero Outage 紀錄</w:t>
            </w:r>
          </w:p>
        </w:tc>
      </w:tr>
      <w:tr>
        <w:tc>
          <w:tcPr>
            <w:tcW w:type="dxa" w:w="2592"/>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b/>
                <w:color w:val="2D3748"/>
                <w:sz w:val="17"/>
              </w:rPr>
              <w:t>零信任資安與合規</w:t>
              <w:br/>
              <w:t>(Zero Trust GRC)</w:t>
            </w:r>
          </w:p>
        </w:tc>
        <w:tc>
          <w:tcPr>
            <w:tcW w:type="dxa" w:w="3888"/>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以 ISO 27001 主導稽核員標準推動零信任微切分、IAM/精細 MFA 與 API 安全左移 (DevSecOps)，構建實體與雲端全域防護體系。</w:t>
            </w:r>
          </w:p>
        </w:tc>
        <w:tc>
          <w:tcPr>
            <w:tcW w:type="dxa" w:w="3269"/>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 資安威脅事件年減 30%</w:t>
              <w:br/>
              <w:t>• 順利通過跨國 ISO 27001 雙重審計</w:t>
              <w:br/>
              <w:t>• 建立 7×24 小時 SOC 全局觀測聯防</w:t>
            </w:r>
          </w:p>
        </w:tc>
      </w:tr>
      <w:tr>
        <w:tc>
          <w:tcPr>
            <w:tcW w:type="dxa" w:w="2592"/>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b/>
                <w:color w:val="2D3748"/>
                <w:sz w:val="17"/>
              </w:rPr>
              <w:t>核心企業系統治理</w:t>
              <w:br/>
              <w:t>(SAP Clean Core / ERP)</w:t>
            </w:r>
          </w:p>
        </w:tc>
        <w:tc>
          <w:tcPr>
            <w:tcW w:type="dxa" w:w="3888"/>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推行 SAP S/4HANA Clean Core 與 Oracle EBS 標準化，整合跨廠區 MES、PLM、APS 異質數據流，徹底消除數據孤島與歷史技術債。</w:t>
            </w:r>
          </w:p>
        </w:tc>
        <w:tc>
          <w:tcPr>
            <w:tcW w:type="dxa" w:w="3269"/>
            <w:shd w:fill="F8FAFC"/>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 產線稼動率與良率提升 15%</w:t>
              <w:br/>
              <w:t>• 削減客製物件 35%、流程標準化 90%</w:t>
              <w:br/>
              <w:t>• 化解數億元潛在滯銷存貨危機</w:t>
            </w:r>
          </w:p>
        </w:tc>
      </w:tr>
      <w:tr>
        <w:tc>
          <w:tcPr>
            <w:tcW w:type="dxa" w:w="2592"/>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b/>
                <w:color w:val="2D3748"/>
                <w:sz w:val="17"/>
              </w:rPr>
              <w:t>全球跨文化團隊領導</w:t>
              <w:br/>
              <w:t>與思想影響力</w:t>
            </w:r>
          </w:p>
        </w:tc>
        <w:tc>
          <w:tcPr>
            <w:tcW w:type="dxa" w:w="3888"/>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管控 $10M 級資本支出，領導美、中、台、歐跨文化團隊，擔任 Scrum Master 賦能一線工程組織，獲 Google Cloud 官方全球成功案例認可。</w:t>
            </w:r>
          </w:p>
        </w:tc>
        <w:tc>
          <w:tcPr>
            <w:tcW w:type="dxa" w:w="3269"/>
            <w:shd w:fill="FFFFFF"/>
            <w:tcMar>
              <w:top w:w="100" w:type="dxa"/>
              <w:bottom w:w="100" w:type="dxa"/>
              <w:left w:w="120" w:type="dxa"/>
              <w:right w:w="120" w:type="dxa"/>
            </w:tcMar>
            <w:tcBorders>
              <w:top w:val="none"/>
              <w:left w:val="none"/>
              <w:bottom w:val="single" w:sz="4" w:space="0" w:color="E2E8F0"/>
              <w:right w:val="none"/>
              <w:insideH w:val="none"/>
              <w:insideV w:val="none"/>
            </w:tcBorders>
          </w:tcPr>
          <w:p>
            <w:pPr>
              <w:spacing w:before="0" w:after="0"/>
            </w:pPr>
            <w:r>
              <w:rPr>
                <w:color w:val="2D3748"/>
                <w:sz w:val="17"/>
              </w:rPr>
              <w:t>• 獲邀 CIO Taiwan、MongoDB.local 演講</w:t>
              <w:br/>
              <w:t>• 建立跨國 Talent Pipeline 繼任計畫</w:t>
              <w:br/>
              <w:t>• 帶領 500+ 人企業達成戰略敏捷轉型</w:t>
            </w:r>
          </w:p>
        </w:tc>
      </w:tr>
    </w:tbl>
    <w:p>
      <w:pPr>
        <w:keepNext/>
        <w:spacing w:before="280" w:after="120"/>
      </w:pPr>
      <w:r>
        <w:rPr>
          <w:b/>
          <w:color w:val="A83212"/>
          <w:sz w:val="26"/>
        </w:rPr>
        <w:t>三、20+ 年主要工作經歷與實戰成果 (Professional Experience)</w:t>
      </w:r>
    </w:p>
    <w:p>
      <w:pPr>
        <w:keepNext/>
        <w:spacing w:before="200" w:after="40"/>
      </w:pPr>
      <w:r>
        <w:rPr>
          <w:b/>
          <w:color w:val="2D3748"/>
          <w:sz w:val="22"/>
        </w:rPr>
        <w:t>🏢 盛欣網絡 暨 盛碁網絡科技 (上市櫃關聯集團)</w:t>
      </w:r>
      <w:r>
        <w:rPr>
          <w:b/>
          <w:color w:val="D97706"/>
          <w:sz w:val="19"/>
        </w:rPr>
        <w:t xml:space="preserve"> ｜ 2025.05 – 至今</w:t>
      </w:r>
    </w:p>
    <w:p>
      <w:pPr>
        <w:keepNext/>
        <w:spacing w:before="0" w:after="80"/>
      </w:pPr>
      <w:r>
        <w:rPr>
          <w:b/>
          <w:color w:val="DE5814"/>
          <w:sz w:val="20"/>
        </w:rPr>
        <w:t>📌 職銜：技術副總 (VP of Technology)</w:t>
      </w:r>
      <w:r>
        <w:rPr>
          <w:color w:val="64748B"/>
          <w:sz w:val="18"/>
        </w:rPr>
        <w:t xml:space="preserve"> ｜ 範疇：台北 / 台中 / 上海 ｜ 500+ 人組織 ｜ 掌控預算：$5.0M USD</w:t>
      </w:r>
    </w:p>
    <w:p>
      <w:pPr>
        <w:pStyle w:val="ListBullet"/>
        <w:spacing w:before="0" w:after="40"/>
      </w:pPr>
      <w:r>
        <w:rPr>
          <w:color w:val="2D3748"/>
          <w:sz w:val="18"/>
        </w:rPr>
        <w:t>主導跨國 GCP 與 AWS 多雲整合架構，重新梳理雲端資源與房卡服務架構，多雲 TCO 壓降達 30%。</w:t>
      </w:r>
    </w:p>
    <w:p>
      <w:pPr>
        <w:pStyle w:val="ListBullet"/>
        <w:spacing w:before="0" w:after="40"/>
      </w:pPr>
      <w:r>
        <w:rPr>
          <w:color w:val="2D3748"/>
          <w:sz w:val="18"/>
        </w:rPr>
        <w:t>導入零信任網路架構 (Zero Trust) 與微隔離機制，實施精細 MFA 身分鑑別，資安異常存取事故大幅年減 30%。</w:t>
      </w:r>
    </w:p>
    <w:p>
      <w:pPr>
        <w:pStyle w:val="ListBullet"/>
        <w:spacing w:before="0" w:after="40"/>
      </w:pPr>
      <w:r>
        <w:rPr>
          <w:color w:val="2D3748"/>
          <w:sz w:val="18"/>
        </w:rPr>
        <w:t>建立敏捷開發組織，試點導入 Agentic AI 自主代理自動化處理例行運維單據，組織維運效率顯著躍升 55%。</w:t>
      </w:r>
    </w:p>
    <w:p>
      <w:pPr>
        <w:pStyle w:val="ListBullet"/>
        <w:spacing w:before="0" w:after="40"/>
      </w:pPr>
      <w:r>
        <w:rPr>
          <w:color w:val="2D3748"/>
          <w:sz w:val="18"/>
        </w:rPr>
        <w:t>建置跨區域高可用性架構，達成核心系統可用率 99.9% Uptime，確保全球大規模在線對局零中斷。</w:t>
      </w:r>
    </w:p>
    <w:p>
      <w:pPr>
        <w:keepNext/>
        <w:spacing w:before="200" w:after="40"/>
      </w:pPr>
      <w:r>
        <w:rPr>
          <w:b/>
          <w:color w:val="2D3748"/>
          <w:sz w:val="22"/>
        </w:rPr>
        <w:t>🏢 上市櫃數位科技與娛樂集團 (GameSparcs / 6542.TWO)</w:t>
      </w:r>
      <w:r>
        <w:rPr>
          <w:b/>
          <w:color w:val="D97706"/>
          <w:sz w:val="19"/>
        </w:rPr>
        <w:t xml:space="preserve"> ｜ 2022.01 – 2025.04</w:t>
      </w:r>
    </w:p>
    <w:p>
      <w:pPr>
        <w:keepNext/>
        <w:spacing w:before="0" w:after="80"/>
      </w:pPr>
      <w:r>
        <w:rPr>
          <w:b/>
          <w:color w:val="DE5814"/>
          <w:sz w:val="20"/>
        </w:rPr>
        <w:t>📌 職銜：資訊長 暨 資安長與數據AI長 (CIO / CISO / CDAIO)</w:t>
      </w:r>
      <w:r>
        <w:rPr>
          <w:color w:val="64748B"/>
          <w:sz w:val="18"/>
        </w:rPr>
        <w:t xml:space="preserve"> ｜ 範疇：台北 / 高雄 / 台中 / 成都 / 杭州 / 馬爾他 / 美國 ｜ 1,200+ 人組織 ｜ 掌控預算：$10.0M USD</w:t>
      </w:r>
    </w:p>
    <w:p>
      <w:pPr>
        <w:pStyle w:val="ListBullet"/>
        <w:spacing w:before="0" w:after="40"/>
      </w:pPr>
      <w:r>
        <w:rPr>
          <w:color w:val="2D3748"/>
          <w:sz w:val="18"/>
        </w:rPr>
        <w:t>主導核心平台全面遷移至 Google Kubernetes Engine (GKE)，結合 Cloud Load Balancing 智慧分流與 Autoscaling，部署時間縮短 100%，榮獲 Google Cloud 官方 Success Story 專訪。</w:t>
      </w:r>
    </w:p>
    <w:p>
      <w:pPr>
        <w:pStyle w:val="ListBullet"/>
        <w:spacing w:before="0" w:after="40"/>
      </w:pPr>
      <w:r>
        <w:rPr>
          <w:color w:val="2D3748"/>
          <w:sz w:val="18"/>
        </w:rPr>
        <w:t>引領重構資料庫架構至 MongoDB Atlas 全託管雲端平台，解決瞬間高併發百萬流量瓶頸，達成 100% Zero Outage 標竿，並受邀於 MongoDB.local 國際大會發表 Keynote 演講。</w:t>
      </w:r>
    </w:p>
    <w:p>
      <w:pPr>
        <w:pStyle w:val="ListBullet"/>
        <w:spacing w:before="0" w:after="40"/>
      </w:pPr>
      <w:r>
        <w:rPr>
          <w:color w:val="2D3748"/>
          <w:sz w:val="18"/>
        </w:rPr>
        <w:t>推動 FinOps 多雲財務營運制度，建立透明化成本監控模型，年度雲端支出直接削減 30%。</w:t>
      </w:r>
    </w:p>
    <w:p>
      <w:pPr>
        <w:pStyle w:val="ListBullet"/>
        <w:spacing w:before="0" w:after="40"/>
      </w:pPr>
      <w:r>
        <w:rPr>
          <w:color w:val="2D3748"/>
          <w:sz w:val="18"/>
        </w:rPr>
        <w:t>通過 ISO 27001 國際資安認證，落實 API 安全左移與 DevSecOps 品質關卡，成功守護跨國多平台合規運營。</w:t>
      </w:r>
    </w:p>
    <w:p>
      <w:pPr>
        <w:keepNext/>
        <w:spacing w:before="200" w:after="40"/>
      </w:pPr>
      <w:r>
        <w:rPr>
          <w:b/>
          <w:color w:val="2D3748"/>
          <w:sz w:val="22"/>
        </w:rPr>
        <w:t>🏢 鴻海精密工業股份有限公司 (Foxconn)</w:t>
      </w:r>
    </w:p>
    <w:p>
      <w:pPr>
        <w:keepNext/>
        <w:spacing w:before="0" w:after="80"/>
      </w:pPr>
      <w:r>
        <w:rPr>
          <w:b/>
          <w:color w:val="DE5814"/>
          <w:sz w:val="20"/>
        </w:rPr>
        <w:t>📌 職銜：中央資訊 技術處長 (Technology Director, Central IT)</w:t>
      </w:r>
      <w:r>
        <w:rPr>
          <w:color w:val="64748B"/>
          <w:sz w:val="18"/>
        </w:rPr>
        <w:t xml:space="preserve"> ｜ 範疇：全球超大型製造事業群中央 IT 治理架構</w:t>
      </w:r>
    </w:p>
    <w:p>
      <w:pPr>
        <w:pStyle w:val="ListBullet"/>
        <w:spacing w:before="0" w:after="40"/>
      </w:pPr>
      <w:r>
        <w:rPr>
          <w:color w:val="2D3748"/>
          <w:sz w:val="18"/>
        </w:rPr>
        <w:t>統籌中央資訊核心架構決策（Enterprise Architecture Decisions），負責全球多事業群技術標準制定與架構治理。</w:t>
      </w:r>
    </w:p>
    <w:p>
      <w:pPr>
        <w:pStyle w:val="ListBullet"/>
        <w:spacing w:before="0" w:after="40"/>
      </w:pPr>
      <w:r>
        <w:rPr>
          <w:color w:val="2D3748"/>
          <w:sz w:val="18"/>
        </w:rPr>
        <w:t>主持跨事業群資訊現況 SWOT 與能力差距分析（Gap Analysis），精準界定資訊現代化路徑與資源投入優先序。</w:t>
      </w:r>
    </w:p>
    <w:p>
      <w:pPr>
        <w:pStyle w:val="ListBullet"/>
        <w:spacing w:before="0" w:after="40"/>
      </w:pPr>
      <w:r>
        <w:rPr>
          <w:color w:val="2D3748"/>
          <w:sz w:val="18"/>
        </w:rPr>
        <w:t>肩負商業戰略轉譯（Business-to-Tech Strategy Alignment）關鍵樞紐，將董事會總體營運目標轉化為具體落地之數位轉型推進藍圖。</w:t>
      </w:r>
    </w:p>
    <w:p>
      <w:pPr>
        <w:pStyle w:val="ListBullet"/>
        <w:spacing w:before="0" w:after="40"/>
      </w:pPr>
      <w:r>
        <w:rPr>
          <w:color w:val="2D3748"/>
          <w:sz w:val="18"/>
        </w:rPr>
        <w:t>主導全球供應鏈與製造系統架構現代化藍圖規劃，建立跨區域資訊協同與數據流整合框架。</w:t>
      </w:r>
    </w:p>
    <w:p>
      <w:pPr>
        <w:keepNext/>
        <w:spacing w:before="200" w:after="40"/>
      </w:pPr>
      <w:r>
        <w:rPr>
          <w:b/>
          <w:color w:val="2D3748"/>
          <w:sz w:val="22"/>
        </w:rPr>
        <w:t>🏢 泓晏科技 (Chiffon Group 智慧製造與供應鏈)</w:t>
      </w:r>
      <w:r>
        <w:rPr>
          <w:b/>
          <w:color w:val="D97706"/>
          <w:sz w:val="19"/>
        </w:rPr>
        <w:t xml:space="preserve"> ｜ 2018.03 – 2022.08</w:t>
      </w:r>
    </w:p>
    <w:p>
      <w:pPr>
        <w:keepNext/>
        <w:spacing w:before="0" w:after="80"/>
      </w:pPr>
      <w:r>
        <w:rPr>
          <w:b/>
          <w:color w:val="DE5814"/>
          <w:sz w:val="20"/>
        </w:rPr>
        <w:t>📌 職銜：IT Director / CISO 數位轉型主管</w:t>
      </w:r>
      <w:r>
        <w:rPr>
          <w:color w:val="64748B"/>
          <w:sz w:val="18"/>
        </w:rPr>
        <w:t xml:space="preserve"> ｜ 範疇：台灣 / 深圳 / 上海 / 昆山 / 泰國 ｜ 掌控預算：$4.0M USD</w:t>
      </w:r>
    </w:p>
    <w:p>
      <w:pPr>
        <w:pStyle w:val="ListBullet"/>
        <w:spacing w:before="0" w:after="40"/>
      </w:pPr>
      <w:r>
        <w:rPr>
          <w:color w:val="2D3748"/>
          <w:sz w:val="18"/>
        </w:rPr>
        <w:t>推行 SAP S/4HANA Clean Core 戰略，落實『核心標準化、擴充外部化』，削減客製化技術債達 35%。</w:t>
      </w:r>
    </w:p>
    <w:p>
      <w:pPr>
        <w:pStyle w:val="ListBullet"/>
        <w:spacing w:before="0" w:after="40"/>
      </w:pPr>
      <w:r>
        <w:rPr>
          <w:color w:val="2D3748"/>
          <w:sz w:val="18"/>
        </w:rPr>
        <w:t>深度打通 ERP、MES（製造執行）、PLM（產品生命週期）與 APS（先進規劃排程）數據流，消除數據孤島。</w:t>
      </w:r>
    </w:p>
    <w:p>
      <w:pPr>
        <w:pStyle w:val="ListBullet"/>
        <w:spacing w:before="0" w:after="40"/>
      </w:pPr>
      <w:r>
        <w:rPr>
          <w:color w:val="2D3748"/>
          <w:sz w:val="18"/>
        </w:rPr>
        <w:t>建置以 ELK 為底層的行動化 BI 戰情室，即時可視化跨廠區 OEE 與良率，促使產線良率提升 15%，化解數億元潛在庫存危機，IT 維運成本降低 25%。</w:t>
      </w:r>
    </w:p>
    <w:p>
      <w:pPr>
        <w:keepNext/>
        <w:spacing w:before="200" w:after="40"/>
      </w:pPr>
      <w:r>
        <w:rPr>
          <w:b/>
          <w:color w:val="2D3748"/>
          <w:sz w:val="22"/>
        </w:rPr>
        <w:t>🏢 凌網科技股份有限公司 (Sysware)</w:t>
      </w:r>
      <w:r>
        <w:rPr>
          <w:b/>
          <w:color w:val="D97706"/>
          <w:sz w:val="19"/>
        </w:rPr>
        <w:t xml:space="preserve"> ｜ 2014.05 – 2018.02</w:t>
      </w:r>
    </w:p>
    <w:p>
      <w:pPr>
        <w:keepNext/>
        <w:spacing w:before="0" w:after="80"/>
      </w:pPr>
      <w:r>
        <w:rPr>
          <w:b/>
          <w:color w:val="DE5814"/>
          <w:sz w:val="20"/>
        </w:rPr>
        <w:t>📌 職銜：資深架構師 / IT Manager</w:t>
      </w:r>
      <w:r>
        <w:rPr>
          <w:color w:val="64748B"/>
          <w:sz w:val="18"/>
        </w:rPr>
        <w:t xml:space="preserve"> ｜ 範疇：台北 / 北京 / 泰國</w:t>
      </w:r>
    </w:p>
    <w:p>
      <w:pPr>
        <w:pStyle w:val="ListBullet"/>
        <w:spacing w:before="0" w:after="40"/>
      </w:pPr>
      <w:r>
        <w:rPr>
          <w:color w:val="2D3748"/>
          <w:sz w:val="18"/>
        </w:rPr>
        <w:t>負責集團亞太區資料中心整併工程，部署高可用性備援策略與統一身分目錄架構。</w:t>
      </w:r>
    </w:p>
    <w:p>
      <w:pPr>
        <w:pStyle w:val="ListBullet"/>
        <w:spacing w:before="0" w:after="40"/>
      </w:pPr>
      <w:r>
        <w:rPr>
          <w:color w:val="2D3748"/>
          <w:sz w:val="18"/>
        </w:rPr>
        <w:t>導入 PMP 與敏捷專案管理方法論，確保大型金融與政府委外系統 100% 稽核合規與專案準時交付。</w:t>
      </w:r>
    </w:p>
    <w:p>
      <w:pPr>
        <w:keepNext/>
        <w:spacing w:before="200" w:after="40"/>
      </w:pPr>
      <w:r>
        <w:rPr>
          <w:b/>
          <w:color w:val="2D3748"/>
          <w:sz w:val="22"/>
        </w:rPr>
        <w:t>🏢 光男科技 / 豐辰集團 (Kunnan Enterprises)</w:t>
      </w:r>
      <w:r>
        <w:rPr>
          <w:b/>
          <w:color w:val="D97706"/>
          <w:sz w:val="19"/>
        </w:rPr>
        <w:t xml:space="preserve"> ｜ 2011.08 – 2014.04</w:t>
      </w:r>
    </w:p>
    <w:p>
      <w:pPr>
        <w:keepNext/>
        <w:spacing w:before="0" w:after="80"/>
      </w:pPr>
      <w:r>
        <w:rPr>
          <w:b/>
          <w:color w:val="DE5814"/>
          <w:sz w:val="20"/>
        </w:rPr>
        <w:t>📌 職銜：系統工程師 / IT 專案經理</w:t>
      </w:r>
      <w:r>
        <w:rPr>
          <w:color w:val="64748B"/>
          <w:sz w:val="18"/>
        </w:rPr>
        <w:t xml:space="preserve"> ｜ 範疇：跨國多據點供應鏈</w:t>
      </w:r>
    </w:p>
    <w:p>
      <w:pPr>
        <w:pStyle w:val="ListBullet"/>
        <w:spacing w:before="0" w:after="40"/>
      </w:pPr>
      <w:r>
        <w:rPr>
          <w:color w:val="2D3748"/>
          <w:sz w:val="18"/>
        </w:rPr>
        <w:t>執行跨國併購期間之數據清洗（Data Cleaning）與 ERP 主檔整合工程，將多套 POS/CRM 系統順利接軌，維護業務連續性 (BCP)。</w:t>
      </w:r>
    </w:p>
    <w:p>
      <w:pPr>
        <w:keepNext/>
        <w:spacing w:before="200" w:after="40"/>
      </w:pPr>
      <w:r>
        <w:rPr>
          <w:b/>
          <w:color w:val="2D3748"/>
          <w:sz w:val="22"/>
        </w:rPr>
        <w:t>🏢 美商寶蘭 (Borland) / 美商賽貝斯 (Sybase)</w:t>
      </w:r>
      <w:r>
        <w:rPr>
          <w:b/>
          <w:color w:val="D97706"/>
          <w:sz w:val="19"/>
        </w:rPr>
        <w:t xml:space="preserve"> ｜ 2002.03 – 2011.07</w:t>
      </w:r>
    </w:p>
    <w:p>
      <w:pPr>
        <w:keepNext/>
        <w:spacing w:before="0" w:after="80"/>
      </w:pPr>
      <w:r>
        <w:rPr>
          <w:b/>
          <w:color w:val="DE5814"/>
          <w:sz w:val="20"/>
        </w:rPr>
        <w:t>📌 職銜：大中華區技術負責人 / IT Manager</w:t>
      </w:r>
      <w:r>
        <w:rPr>
          <w:color w:val="64748B"/>
          <w:sz w:val="18"/>
        </w:rPr>
        <w:t xml:space="preserve"> ｜ 範疇：美商外商跨國技術團隊</w:t>
      </w:r>
    </w:p>
    <w:p>
      <w:pPr>
        <w:pStyle w:val="ListBullet"/>
        <w:spacing w:before="0" w:after="40"/>
      </w:pPr>
      <w:r>
        <w:rPr>
          <w:color w:val="2D3748"/>
          <w:sz w:val="18"/>
        </w:rPr>
        <w:t>負責大中華區 ALM 軟體生命週期、關聯式資料庫與企業中間件產品交付與架構顧問團隊。</w:t>
      </w:r>
    </w:p>
    <w:p>
      <w:pPr>
        <w:pStyle w:val="ListBullet"/>
        <w:spacing w:before="0" w:after="40"/>
      </w:pPr>
      <w:r>
        <w:rPr>
          <w:color w:val="2D3748"/>
          <w:sz w:val="18"/>
        </w:rPr>
        <w:t>協助金融與電信龍頭客戶設計電信級關聯式資料庫高可用性架構，維持 99.99% 嚴格可用性標準。</w:t>
      </w:r>
    </w:p>
    <w:p>
      <w:pPr>
        <w:keepNext/>
        <w:spacing w:before="280" w:after="120"/>
      </w:pPr>
      <w:r>
        <w:rPr>
          <w:b/>
          <w:color w:val="A83212"/>
          <w:sz w:val="26"/>
        </w:rPr>
        <w:t>四、學術底蘊、權威著作與國家典藏 (Academic Foundation &amp; Publications)</w:t>
      </w:r>
    </w:p>
    <w:p>
      <w:pPr>
        <w:spacing w:before="80" w:after="40"/>
      </w:pPr>
    </w:p>
    <w:p>
      <w:pPr>
        <w:pStyle w:val="ListBullet"/>
        <w:spacing w:before="40" w:after="40"/>
      </w:pPr>
      <w:r>
        <w:rPr>
          <w:b/>
          <w:color w:val="2D3748"/>
          <w:sz w:val="19"/>
        </w:rPr>
        <w:t>🎓 資訊科技管理學博士 (Ph.D. in IT Management) ｜ 朝陽科技大學 (2014.10)</w:t>
        <w:br/>
      </w:r>
      <w:r>
        <w:rPr>
          <w:color w:val="64748B"/>
          <w:sz w:val="18"/>
        </w:rPr>
        <w:t>博士論文《整合系統的商業自助式入口網站植基於調適性服務導向架構資訊科技治理之研究》，獲國家圖書館永久典藏 (ndltd.ncl.edu.tw)。專攻多雲環境下之資訊治理模式、服務導向架構 (SOA) 與企業風險矩陣。</w:t>
      </w:r>
    </w:p>
    <w:p>
      <w:pPr>
        <w:pStyle w:val="ListBullet"/>
        <w:spacing w:before="40" w:after="40"/>
      </w:pPr>
      <w:r>
        <w:rPr>
          <w:b/>
          <w:color w:val="2D3748"/>
          <w:sz w:val="19"/>
        </w:rPr>
        <w:t>🎓 資訊科學管理碩士 (Master in IT Management) ｜ 國立中興大學 / 朝陽科技大學 (2006.06)</w:t>
        <w:br/>
      </w:r>
      <w:r>
        <w:rPr>
          <w:color w:val="64748B"/>
          <w:sz w:val="18"/>
        </w:rPr>
        <w:t>主修現代密碼學、資料探勘 (Data Mining) 與決策支援系統。曾兼任行政院衛生署台中醫院醫療雲端照護系統協同主持人。</w:t>
      </w:r>
    </w:p>
    <w:p>
      <w:pPr>
        <w:pStyle w:val="ListBullet"/>
        <w:spacing w:before="40" w:after="40"/>
      </w:pPr>
      <w:r>
        <w:rPr>
          <w:b/>
          <w:color w:val="2D3748"/>
          <w:sz w:val="19"/>
        </w:rPr>
        <w:t>📄 SCI 國際頂級期刊論文 (第一作者) ｜ Springer: Multimedia Tools and Applications (2014.06)</w:t>
        <w:br/>
      </w:r>
      <w:r>
        <w:rPr>
          <w:color w:val="64748B"/>
          <w:sz w:val="18"/>
        </w:rPr>
        <w:t>發表權威論文《Reversible secret-image sharing with high visual quality》(DOI: 10.1007/s11042-014-2014-x)，深研影像可逆隱寫技術與資訊安全防禦。</w:t>
      </w:r>
    </w:p>
    <w:p>
      <w:pPr>
        <w:pStyle w:val="ListBullet"/>
        <w:spacing w:before="40" w:after="40"/>
      </w:pPr>
      <w:r>
        <w:rPr>
          <w:b/>
          <w:color w:val="2D3748"/>
          <w:sz w:val="19"/>
        </w:rPr>
        <w:t>🏛️ 國家圖書館專屬研究指導 ID ｜ 臺灣碩博士論文知識加值系統</w:t>
        <w:br/>
      </w:r>
      <w:r>
        <w:rPr>
          <w:color w:val="64748B"/>
          <w:sz w:val="18"/>
        </w:rPr>
        <w:t>具備國家級學術指導認證編號：106IKTC0183002，彰顯學術治學嚴謹性與工程實踐之兼備。</w:t>
      </w:r>
    </w:p>
    <w:p>
      <w:pPr>
        <w:keepNext/>
        <w:spacing w:before="280" w:after="120"/>
      </w:pPr>
      <w:r>
        <w:rPr>
          <w:b/>
          <w:color w:val="A83212"/>
          <w:sz w:val="26"/>
        </w:rPr>
        <w:t>五、國際專業認證與領導培訓 (Professional Certifications)</w:t>
      </w:r>
    </w:p>
    <w:tbl>
      <w:tblPr>
        <w:tblW w:type="auto" w:w="0"/>
        <w:jc w:val="center"/>
        <w:tblLayout w:type="fixed"/>
        <w:tblLook w:firstColumn="1" w:firstRow="1" w:lastColumn="0" w:lastRow="0" w:noHBand="0" w:noVBand="1" w:val="04A0"/>
      </w:tblPr>
      <w:tblGrid>
        <w:gridCol w:w="4874"/>
        <w:gridCol w:w="4874"/>
      </w:tblGrid>
      <w:tr>
        <w:tc>
          <w:tcPr>
            <w:tcW w:type="dxa" w:w="2880"/>
            <w:shd w:fill="F8FAFC"/>
            <w:tcMar>
              <w:top w:w="80" w:type="dxa"/>
              <w:bottom w:w="80" w:type="dxa"/>
              <w:left w:w="100" w:type="dxa"/>
              <w:right w:w="100" w:type="dxa"/>
            </w:tcMar>
            <w:tcBorders>
              <w:top w:val="none"/>
              <w:left w:val="none"/>
              <w:bottom w:val="single" w:sz="4" w:space="0" w:color="E2E8F0"/>
              <w:right w:val="none"/>
              <w:insideH w:val="none"/>
              <w:insideV w:val="none"/>
            </w:tcBorders>
          </w:tcPr>
          <w:p>
            <w:r>
              <w:rPr>
                <w:b/>
                <w:color w:val="DE5814"/>
                <w:sz w:val="18"/>
              </w:rPr>
              <w:t>資安與 AI 治理合規 (GRC)</w:t>
            </w:r>
          </w:p>
        </w:tc>
        <w:tc>
          <w:tcPr>
            <w:tcW w:type="dxa" w:w="6869"/>
            <w:shd w:fill="FFFFFF"/>
            <w:tcMar>
              <w:top w:w="80" w:type="dxa"/>
              <w:bottom w:w="80" w:type="dxa"/>
              <w:left w:w="100" w:type="dxa"/>
              <w:right w:w="100" w:type="dxa"/>
            </w:tcMar>
            <w:tcBorders>
              <w:top w:val="none"/>
              <w:left w:val="none"/>
              <w:bottom w:val="single" w:sz="4" w:space="0" w:color="E2E8F0"/>
              <w:right w:val="none"/>
              <w:insideH w:val="none"/>
              <w:insideV w:val="none"/>
            </w:tcBorders>
          </w:tcPr>
          <w:p>
            <w:r>
              <w:rPr>
                <w:color w:val="2D3748"/>
                <w:sz w:val="17"/>
              </w:rPr>
              <w:t>• ISO 27001 資訊安全管理系統 主導稽核員</w:t>
              <w:br/>
              <w:t>• ISO 42001 (AIMS) 人工智慧管理系統認證導入實務</w:t>
              <w:br/>
              <w:t>• NIST AI RMF 企業級風控框架 (精進中：CISSP / CISM)</w:t>
            </w:r>
          </w:p>
        </w:tc>
      </w:tr>
      <w:tr>
        <w:tc>
          <w:tcPr>
            <w:tcW w:type="dxa" w:w="2880"/>
            <w:shd w:fill="F8FAFC"/>
            <w:tcMar>
              <w:top w:w="80" w:type="dxa"/>
              <w:bottom w:w="80" w:type="dxa"/>
              <w:left w:w="100" w:type="dxa"/>
              <w:right w:w="100" w:type="dxa"/>
            </w:tcMar>
            <w:tcBorders>
              <w:top w:val="none"/>
              <w:left w:val="none"/>
              <w:bottom w:val="single" w:sz="4" w:space="0" w:color="E2E8F0"/>
              <w:right w:val="none"/>
              <w:insideH w:val="none"/>
              <w:insideV w:val="none"/>
            </w:tcBorders>
          </w:tcPr>
          <w:p>
            <w:r>
              <w:rPr>
                <w:b/>
                <w:color w:val="DE5814"/>
                <w:sz w:val="18"/>
              </w:rPr>
              <w:t>專案敏捷與行銷策略</w:t>
            </w:r>
          </w:p>
        </w:tc>
        <w:tc>
          <w:tcPr>
            <w:tcW w:type="dxa" w:w="6869"/>
            <w:shd w:fill="FFFFFF"/>
            <w:tcMar>
              <w:top w:w="80" w:type="dxa"/>
              <w:bottom w:w="80" w:type="dxa"/>
              <w:left w:w="100" w:type="dxa"/>
              <w:right w:w="100" w:type="dxa"/>
            </w:tcMar>
            <w:tcBorders>
              <w:top w:val="none"/>
              <w:left w:val="none"/>
              <w:bottom w:val="single" w:sz="4" w:space="0" w:color="E2E8F0"/>
              <w:right w:val="none"/>
              <w:insideH w:val="none"/>
              <w:insideV w:val="none"/>
            </w:tcBorders>
          </w:tcPr>
          <w:p>
            <w:r>
              <w:rPr>
                <w:color w:val="2D3748"/>
                <w:sz w:val="17"/>
              </w:rPr>
              <w:t>• PMP 國際專案管理師 (Project Management Professional)</w:t>
              <w:br/>
              <w:t>• ScrumMaster CEO (CSM) 敏捷領導認證</w:t>
              <w:br/>
              <w:t>• ESG 永續管理師 ｜ WBSA 中華行銷企劃師</w:t>
            </w:r>
          </w:p>
        </w:tc>
      </w:tr>
      <w:tr>
        <w:tc>
          <w:tcPr>
            <w:tcW w:type="dxa" w:w="2880"/>
            <w:shd w:fill="F8FAFC"/>
            <w:tcMar>
              <w:top w:w="80" w:type="dxa"/>
              <w:bottom w:w="80" w:type="dxa"/>
              <w:left w:w="100" w:type="dxa"/>
              <w:right w:w="100" w:type="dxa"/>
            </w:tcMar>
            <w:tcBorders>
              <w:top w:val="none"/>
              <w:left w:val="none"/>
              <w:bottom w:val="single" w:sz="4" w:space="0" w:color="E2E8F0"/>
              <w:right w:val="none"/>
              <w:insideH w:val="none"/>
              <w:insideV w:val="none"/>
            </w:tcBorders>
          </w:tcPr>
          <w:p>
            <w:r>
              <w:rPr>
                <w:b/>
                <w:color w:val="DE5814"/>
                <w:sz w:val="18"/>
              </w:rPr>
              <w:t>核心企業系統與架構</w:t>
            </w:r>
          </w:p>
        </w:tc>
        <w:tc>
          <w:tcPr>
            <w:tcW w:type="dxa" w:w="6869"/>
            <w:shd w:fill="FFFFFF"/>
            <w:tcMar>
              <w:top w:w="80" w:type="dxa"/>
              <w:bottom w:w="80" w:type="dxa"/>
              <w:left w:w="100" w:type="dxa"/>
              <w:right w:w="100" w:type="dxa"/>
            </w:tcMar>
            <w:tcBorders>
              <w:top w:val="none"/>
              <w:left w:val="none"/>
              <w:bottom w:val="single" w:sz="4" w:space="0" w:color="E2E8F0"/>
              <w:right w:val="none"/>
              <w:insideH w:val="none"/>
              <w:insideV w:val="none"/>
            </w:tcBorders>
          </w:tcPr>
          <w:p>
            <w:r>
              <w:rPr>
                <w:color w:val="2D3748"/>
                <w:sz w:val="17"/>
              </w:rPr>
              <w:t>• Oracle EBS Supply Chain / Manufacture 模組專業認證</w:t>
              <w:br/>
              <w:t>• BEA WebLogic Administrator ｜ IBM Rational ALM</w:t>
              <w:br/>
              <w:t>• (精進中：Google Cloud Professional Cloud Architect)</w:t>
            </w:r>
          </w:p>
        </w:tc>
      </w:tr>
      <w:tr>
        <w:tc>
          <w:tcPr>
            <w:tcW w:type="dxa" w:w="2880"/>
            <w:shd w:fill="F8FAFC"/>
            <w:tcMar>
              <w:top w:w="80" w:type="dxa"/>
              <w:bottom w:w="80" w:type="dxa"/>
              <w:left w:w="100" w:type="dxa"/>
              <w:right w:w="100" w:type="dxa"/>
            </w:tcMar>
            <w:tcBorders>
              <w:top w:val="none"/>
              <w:left w:val="none"/>
              <w:bottom w:val="single" w:sz="4" w:space="0" w:color="E2E8F0"/>
              <w:right w:val="none"/>
              <w:insideH w:val="none"/>
              <w:insideV w:val="none"/>
            </w:tcBorders>
          </w:tcPr>
          <w:p>
            <w:r>
              <w:rPr>
                <w:b/>
                <w:color w:val="DE5814"/>
                <w:sz w:val="18"/>
              </w:rPr>
              <w:t>高階治理與社會貢獻</w:t>
            </w:r>
          </w:p>
        </w:tc>
        <w:tc>
          <w:tcPr>
            <w:tcW w:type="dxa" w:w="6869"/>
            <w:shd w:fill="FFFFFF"/>
            <w:tcMar>
              <w:top w:w="80" w:type="dxa"/>
              <w:bottom w:w="80" w:type="dxa"/>
              <w:left w:w="100" w:type="dxa"/>
              <w:right w:w="100" w:type="dxa"/>
            </w:tcMar>
            <w:tcBorders>
              <w:top w:val="none"/>
              <w:left w:val="none"/>
              <w:bottom w:val="single" w:sz="4" w:space="0" w:color="E2E8F0"/>
              <w:right w:val="none"/>
              <w:insideH w:val="none"/>
              <w:insideV w:val="none"/>
            </w:tcBorders>
          </w:tcPr>
          <w:p>
            <w:r>
              <w:rPr>
                <w:color w:val="2D3748"/>
                <w:sz w:val="17"/>
              </w:rPr>
              <w:t>• 康善基金會 常務董事 (將 IT 專長貢獻於社會公益與智慧健康長照)</w:t>
              <w:br/>
              <w:t>• CIO Taiwan 價值學院 / MongoDB.local 國際大會 Keynote 講者</w:t>
            </w:r>
          </w:p>
        </w:tc>
      </w:tr>
    </w:tbl>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TC" w:hAnsi="PingFang TC"/>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