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A83212"/>
          <w:sz w:val="44"/>
        </w:rPr>
        <w:t>Howard Liao, Ph.D. (廖倫豪 博士)</w:t>
      </w:r>
    </w:p>
    <w:p>
      <w:pPr>
        <w:spacing w:before="0" w:after="120"/>
      </w:pPr>
      <w:r>
        <w:rPr>
          <w:b/>
          <w:color w:val="DE5814"/>
          <w:sz w:val="22"/>
        </w:rPr>
        <w:t>Forward-Deployed AI Architect &amp; Enterprise Capital Allocator</w:t>
        <w:br/>
        <w:t>VP of Technology / CIO / CISO / CDAIO | Hands-on Player-Coach Executive</w:t>
      </w:r>
    </w:p>
    <w:p>
      <w:pPr>
        <w:spacing w:before="0" w:after="280"/>
      </w:pPr>
      <w:r>
        <w:rPr>
          <w:color w:val="64748B"/>
          <w:sz w:val="19"/>
        </w:rPr>
        <w:t>📱 +886-975-323161 | ✉️ Liao.Howard@gmail.com | 🌐 Strategic Portfolio: https://howardliao.github.io/Howard.github.io/</w:t>
        <w:br/>
        <w:t>📍 Primary Hub: Taiwan (Taipei/Hsinchu/Taichung/Kaohsiung) | 🌍 Global Footprint: US, Japan, Europe, Greater China</w:t>
      </w:r>
    </w:p>
    <w:p>
      <w:pPr>
        <w:keepNext/>
        <w:spacing w:before="280" w:after="120"/>
      </w:pPr>
      <w:r>
        <w:rPr>
          <w:b/>
          <w:color w:val="A83212"/>
          <w:sz w:val="26"/>
        </w:rPr>
        <w:t>I. Executive Summary &amp; 2026 Strategic Positioning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FFBEB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24" w:space="0" w:color="DE5814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DE5814"/>
              </w:rPr>
              <w:t>"Compute is Revenue; Architecture is Armor Against Market Volatility."</w:t>
              <w:br/>
            </w:r>
            <w:r>
              <w:rPr>
                <w:color w:val="2D3748"/>
                <w:sz w:val="19"/>
              </w:rPr>
              <w:t>I am Dr. Howard Liao, Ph.D. — a Forward-Deployed AI Architect &amp; Enterprise Capital Allocator with 20+ years of multidisciplinary leadership across smart manufacturing, listed digital entertainment, and international software enterprises. Unlike purely theoretical executives, I embody an authentic Player-Coach ethos: commanding boardroom strategic discourse (OGSM / EBITDA / TCO) while directly embedding into frontline operations to translate mission-critical business challenges into production-grade Agentic AI autonomous systems, multi-cloud containerization (GKE/EKS), and data governance hubs. Strictly aligned with ISO 42001 and NIST AI RMF to enforce rigorous guardrails, transforming technology capital into durable enterprise gross margin and cash flow assets.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4"/>
            <w:shd w:fill="2D3748"/>
            <w:tcMar>
              <w:top w:w="12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20+ Yrs</w:t>
            </w:r>
          </w:p>
        </w:tc>
        <w:tc>
          <w:tcPr>
            <w:tcW w:type="dxa" w:w="2434"/>
            <w:shd w:fill="2D3748"/>
            <w:tcMar>
              <w:top w:w="12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30%</w:t>
            </w:r>
          </w:p>
        </w:tc>
        <w:tc>
          <w:tcPr>
            <w:tcW w:type="dxa" w:w="2434"/>
            <w:shd w:fill="2D3748"/>
            <w:tcMar>
              <w:top w:w="12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55%</w:t>
            </w:r>
          </w:p>
        </w:tc>
        <w:tc>
          <w:tcPr>
            <w:tcW w:type="dxa" w:w="2434"/>
            <w:shd w:fill="2D3748"/>
            <w:tcMar>
              <w:top w:w="12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99.9%</w:t>
            </w:r>
          </w:p>
        </w:tc>
      </w:tr>
      <w:tr>
        <w:tc>
          <w:tcPr>
            <w:tcW w:type="dxa" w:w="2434"/>
            <w:shd w:fill="F8FAFC"/>
            <w:tcMar>
              <w:top w:w="60" w:type="dxa"/>
              <w:bottom w:w="12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CBD5E1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color w:val="2D3748"/>
                <w:sz w:val="17"/>
              </w:rPr>
              <w:t>Global IT Management</w:t>
              <w:br/>
            </w:r>
            <w:r>
              <w:rPr>
                <w:color w:val="64748B"/>
                <w:sz w:val="15"/>
              </w:rPr>
              <w:t>Manufacturing, Gaming, Software</w:t>
            </w:r>
          </w:p>
        </w:tc>
        <w:tc>
          <w:tcPr>
            <w:tcW w:type="dxa" w:w="2434"/>
            <w:shd w:fill="F8FAFC"/>
            <w:tcMar>
              <w:top w:w="60" w:type="dxa"/>
              <w:bottom w:w="12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CBD5E1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color w:val="2D3748"/>
                <w:sz w:val="17"/>
              </w:rPr>
              <w:t>Multi-Cloud TCO Cut</w:t>
              <w:br/>
            </w:r>
            <w:r>
              <w:rPr>
                <w:color w:val="64748B"/>
                <w:sz w:val="15"/>
              </w:rPr>
              <w:t>FinOps Governance, GKE Autoscaling</w:t>
            </w:r>
          </w:p>
        </w:tc>
        <w:tc>
          <w:tcPr>
            <w:tcW w:type="dxa" w:w="2434"/>
            <w:shd w:fill="F8FAFC"/>
            <w:tcMar>
              <w:top w:w="60" w:type="dxa"/>
              <w:bottom w:w="12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CBD5E1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color w:val="2D3748"/>
                <w:sz w:val="17"/>
              </w:rPr>
              <w:t>Agentic AI Efficiency</w:t>
              <w:br/>
            </w:r>
            <w:r>
              <w:rPr>
                <w:color w:val="64748B"/>
                <w:sz w:val="15"/>
              </w:rPr>
              <w:t>Autonomous Production Workflows</w:t>
            </w:r>
          </w:p>
        </w:tc>
        <w:tc>
          <w:tcPr>
            <w:tcW w:type="dxa" w:w="2434"/>
            <w:shd w:fill="F8FAFC"/>
            <w:tcMar>
              <w:top w:w="60" w:type="dxa"/>
              <w:bottom w:w="12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CBD5E1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color w:val="2D3748"/>
                <w:sz w:val="17"/>
              </w:rPr>
              <w:t>Core System Uptime</w:t>
              <w:br/>
            </w:r>
            <w:r>
              <w:rPr>
                <w:color w:val="64748B"/>
                <w:sz w:val="15"/>
              </w:rPr>
              <w:t>Zero-Outage Resilient Architecture</w:t>
            </w:r>
          </w:p>
        </w:tc>
      </w:tr>
    </w:tbl>
    <w:p>
      <w:pPr>
        <w:keepNext/>
        <w:spacing w:before="280" w:after="120"/>
      </w:pPr>
      <w:r>
        <w:rPr>
          <w:b/>
          <w:color w:val="A83212"/>
          <w:sz w:val="26"/>
        </w:rPr>
        <w:t>II. C-Suite Core Competency Matrix &amp; Deliverables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2592"/>
            <w:shd w:fill="DE581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Competency Dimension</w:t>
            </w:r>
          </w:p>
        </w:tc>
        <w:tc>
          <w:tcPr>
            <w:tcW w:type="dxa" w:w="3888"/>
            <w:shd w:fill="DE581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Executive Strategic Governance</w:t>
            </w:r>
          </w:p>
        </w:tc>
        <w:tc>
          <w:tcPr>
            <w:tcW w:type="dxa" w:w="3269"/>
            <w:shd w:fill="DE581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Verified Quantitative Deliverables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2D3748"/>
                <w:sz w:val="17"/>
              </w:rPr>
              <w:t>Forward-Deployed AI</w:t>
              <w:br/>
              <w:t>Architecture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color w:val="2D3748"/>
                <w:sz w:val="17"/>
              </w:rPr>
              <w:t>Refusing armchair management; embedding into frontline operations to translate business bottlenecks into production-grade Agentic workflows under ISO 42001 &amp; NIST AI RMF.</w:t>
            </w:r>
          </w:p>
        </w:tc>
        <w:tc>
          <w:tcPr>
            <w:tcW w:type="dxa" w:w="326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color w:val="2D3748"/>
                <w:sz w:val="17"/>
              </w:rPr>
              <w:t>• +55% organization-wide workflow automation</w:t>
              <w:br/>
              <w:t>• -20% project lead time to production</w:t>
              <w:br/>
              <w:t>• Zero data leakage / prompt injection defenses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2D3748"/>
                <w:sz w:val="17"/>
              </w:rPr>
              <w:t>Multi-Cloud FinOps &amp;</w:t>
              <w:br/>
              <w:t>Capital Governance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color w:val="2D3748"/>
                <w:sz w:val="17"/>
              </w:rPr>
              <w:t>Leading GCP/AWS multi-cloud unification, GKE containerization, and MongoDB Atlas modernization with autoscaling and smart routing.</w:t>
            </w:r>
          </w:p>
        </w:tc>
        <w:tc>
          <w:tcPr>
            <w:tcW w:type="dxa" w:w="3269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color w:val="2D3748"/>
                <w:sz w:val="17"/>
              </w:rPr>
              <w:t>• -30% multi-cloud Total Cost of Ownership</w:t>
              <w:br/>
              <w:t>• +100% deployment velocity</w:t>
              <w:br/>
              <w:t>• 100% Zero-Outage operational record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2D3748"/>
                <w:sz w:val="17"/>
              </w:rPr>
              <w:t>Zero Trust Architecture</w:t>
              <w:br/>
              <w:t>&amp; GRC Compliance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color w:val="2D3748"/>
                <w:sz w:val="17"/>
              </w:rPr>
              <w:t>Implementing Zero Trust micro-segmentation, IAM/MFA, and Shift-Left DevSecOps as an ISO 27001 Lead Auditor across physical and cloud perimeters.</w:t>
            </w:r>
          </w:p>
        </w:tc>
        <w:tc>
          <w:tcPr>
            <w:tcW w:type="dxa" w:w="326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color w:val="2D3748"/>
                <w:sz w:val="17"/>
              </w:rPr>
              <w:t>• -30% annual cyber incident frequency</w:t>
              <w:br/>
              <w:t>• Passed global ISO 27001 dual audits</w:t>
              <w:br/>
              <w:t>• 24x7 SOC unified threat intelligence center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2D3748"/>
                <w:sz w:val="17"/>
              </w:rPr>
              <w:t>Enterprise Core Systems</w:t>
              <w:br/>
              <w:t>(SAP Clean Core / ERP)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color w:val="2D3748"/>
                <w:sz w:val="17"/>
              </w:rPr>
              <w:t>Executing SAP S/4HANA Clean Core and Oracle EBS standardization; integrating MES, PLM, and APS data flows across global manufacturing sites.</w:t>
            </w:r>
          </w:p>
        </w:tc>
        <w:tc>
          <w:tcPr>
            <w:tcW w:type="dxa" w:w="3269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color w:val="2D3748"/>
                <w:sz w:val="17"/>
              </w:rPr>
              <w:t>• +15% manufacturing yield &amp; line OEE</w:t>
              <w:br/>
              <w:t>• -35% custom objects, 90% standardized flows</w:t>
              <w:br/>
              <w:t>• Eliminated hundreds of millions in excess inventory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b/>
                <w:color w:val="2D3748"/>
                <w:sz w:val="17"/>
              </w:rPr>
              <w:t>Global Cross-Cultural</w:t>
              <w:br/>
              <w:t>Leadership &amp; Influence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color w:val="2D3748"/>
                <w:sz w:val="17"/>
              </w:rPr>
              <w:t>Governing $10M+ CAPEX/OPEX budgets; orchestrating 100+ engineer teams across US, China, Taiwan, and Europe; official Google Cloud Success Story recognition.</w:t>
            </w:r>
          </w:p>
        </w:tc>
        <w:tc>
          <w:tcPr>
            <w:tcW w:type="dxa" w:w="3269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color w:val="2D3748"/>
                <w:sz w:val="17"/>
              </w:rPr>
              <w:t>• Keynotes at CIO Taiwan &amp; MongoDB.local</w:t>
              <w:br/>
              <w:t>• Built cross-border succession talent pipeline</w:t>
              <w:br/>
              <w:t>• Transformed 500+ employee enterprise agility</w:t>
            </w:r>
          </w:p>
        </w:tc>
      </w:tr>
    </w:tbl>
    <w:p>
      <w:pPr>
        <w:keepNext/>
        <w:spacing w:before="280" w:after="120"/>
      </w:pPr>
      <w:r>
        <w:rPr>
          <w:b/>
          <w:color w:val="A83212"/>
          <w:sz w:val="26"/>
        </w:rPr>
        <w:t>III. 20+ Years Executive Career Milestones &amp; Impact</w:t>
      </w:r>
    </w:p>
    <w:p>
      <w:pPr>
        <w:keepNext/>
        <w:spacing w:before="200" w:after="40"/>
      </w:pPr>
      <w:r>
        <w:rPr>
          <w:b/>
          <w:color w:val="2D3748"/>
          <w:sz w:val="22"/>
        </w:rPr>
        <w:t>🏢 Shenxin &amp; Shengji Network Technology (Public Listed Affiliate)</w:t>
      </w:r>
      <w:r>
        <w:rPr>
          <w:b/>
          <w:color w:val="D97706"/>
          <w:sz w:val="19"/>
        </w:rPr>
        <w:t xml:space="preserve"> | 2025.05 – Present</w:t>
      </w:r>
    </w:p>
    <w:p>
      <w:pPr>
        <w:keepNext/>
        <w:spacing w:before="0" w:after="80"/>
      </w:pPr>
      <w:r>
        <w:rPr>
          <w:b/>
          <w:color w:val="DE5814"/>
          <w:sz w:val="20"/>
        </w:rPr>
        <w:t>📌 Role: VP of Technology</w:t>
      </w:r>
      <w:r>
        <w:rPr>
          <w:color w:val="64748B"/>
          <w:sz w:val="18"/>
        </w:rPr>
        <w:t xml:space="preserve"> | Scope: Taipei / Taichung / Shanghai | 500+ Employees | Budget: $5.0M USD</w:t>
      </w:r>
    </w:p>
    <w:p>
      <w:pPr>
        <w:pStyle w:val="ListBullet"/>
        <w:spacing w:before="0" w:after="40"/>
      </w:pPr>
      <w:r>
        <w:rPr>
          <w:color w:val="2D3748"/>
          <w:sz w:val="18"/>
        </w:rPr>
        <w:t>Spearheaded GCP &amp; AWS multi-cloud unification, re-architecting infrastructure for Room-Card distribution services, cutting multi-cloud TCO by 30%.</w:t>
      </w:r>
    </w:p>
    <w:p>
      <w:pPr>
        <w:pStyle w:val="ListBullet"/>
        <w:spacing w:before="0" w:after="40"/>
      </w:pPr>
      <w:r>
        <w:rPr>
          <w:color w:val="2D3748"/>
          <w:sz w:val="18"/>
        </w:rPr>
        <w:t>Deployed Zero Trust Architecture with granular MFA and micro-segmentation, slashing unauthorized access and security incidents by 30%.</w:t>
      </w:r>
    </w:p>
    <w:p>
      <w:pPr>
        <w:pStyle w:val="ListBullet"/>
        <w:spacing w:before="0" w:after="40"/>
      </w:pPr>
      <w:r>
        <w:rPr>
          <w:color w:val="2D3748"/>
          <w:sz w:val="18"/>
        </w:rPr>
        <w:t>Instituted agile development framework, piloting Agentic AI autonomous workflows for routine DevOps tickets, boosting operational efficiency by 55%.</w:t>
      </w:r>
    </w:p>
    <w:p>
      <w:pPr>
        <w:pStyle w:val="ListBullet"/>
        <w:spacing w:before="0" w:after="40"/>
      </w:pPr>
      <w:r>
        <w:rPr>
          <w:color w:val="2D3748"/>
          <w:sz w:val="18"/>
        </w:rPr>
        <w:t>Engineered cross-region active-active clusters, sustaining 99.9% uptime for massive concurrent global online sessions.</w:t>
      </w:r>
    </w:p>
    <w:p>
      <w:pPr>
        <w:keepNext/>
        <w:spacing w:before="200" w:after="40"/>
      </w:pPr>
      <w:r>
        <w:rPr>
          <w:b/>
          <w:color w:val="2D3748"/>
          <w:sz w:val="22"/>
        </w:rPr>
        <w:t>🏢 Public Listed Digital Technology &amp; Entertainment Group (GameSparcs / 6542.TWO)</w:t>
      </w:r>
      <w:r>
        <w:rPr>
          <w:b/>
          <w:color w:val="D97706"/>
          <w:sz w:val="19"/>
        </w:rPr>
        <w:t xml:space="preserve"> | 2022.01 – 2025.04</w:t>
      </w:r>
    </w:p>
    <w:p>
      <w:pPr>
        <w:keepNext/>
        <w:spacing w:before="0" w:after="80"/>
      </w:pPr>
      <w:r>
        <w:rPr>
          <w:b/>
          <w:color w:val="DE5814"/>
          <w:sz w:val="20"/>
        </w:rPr>
        <w:t>📌 Role: Chief Information Officer / Chief Information Security Officer / Chief Data &amp; AI Officer (CIO / CISO / CDAIO)</w:t>
      </w:r>
      <w:r>
        <w:rPr>
          <w:color w:val="64748B"/>
          <w:sz w:val="18"/>
        </w:rPr>
        <w:t xml:space="preserve"> | Scope: Taipei / Kaohsiung / Taichung / Chengdu / Hangzhou / Malta / US | 1,200+ Employees | Budget: $10.0M USD</w:t>
      </w:r>
    </w:p>
    <w:p>
      <w:pPr>
        <w:pStyle w:val="ListBullet"/>
        <w:spacing w:before="0" w:after="40"/>
      </w:pPr>
      <w:r>
        <w:rPr>
          <w:color w:val="2D3748"/>
          <w:sz w:val="18"/>
        </w:rPr>
        <w:t>Directed complete core platform migration to Google Kubernetes Engine (GKE) with Cloud Load Balancing and dynamic Autoscaling, reducing deployment time by 100%, spotlighted as an official Google Cloud APAC Success Story.</w:t>
      </w:r>
    </w:p>
    <w:p>
      <w:pPr>
        <w:pStyle w:val="ListBullet"/>
        <w:spacing w:before="0" w:after="40"/>
      </w:pPr>
      <w:r>
        <w:rPr>
          <w:color w:val="2D3748"/>
          <w:sz w:val="18"/>
        </w:rPr>
        <w:t>Led database re-architecture to MongoDB Atlas fully managed cloud clusters, eliminating million-user concurrency bottlenecks and securing a 100% Zero-Outage milestone; invited Keynote speaker at MongoDB.local Taipei.</w:t>
      </w:r>
    </w:p>
    <w:p>
      <w:pPr>
        <w:pStyle w:val="ListBullet"/>
        <w:spacing w:before="0" w:after="40"/>
      </w:pPr>
      <w:r>
        <w:rPr>
          <w:color w:val="2D3748"/>
          <w:sz w:val="18"/>
        </w:rPr>
        <w:t>Established comprehensive FinOps financial operations framework with real-time cost transparency, reducing annual cloud OPEX by 30%.</w:t>
      </w:r>
    </w:p>
    <w:p>
      <w:pPr>
        <w:pStyle w:val="ListBullet"/>
        <w:spacing w:before="0" w:after="40"/>
      </w:pPr>
      <w:r>
        <w:rPr>
          <w:color w:val="2D3748"/>
          <w:sz w:val="18"/>
        </w:rPr>
        <w:t>Achieved ISO 27001 certification, driving API Shift-Left security and automated DevSecOps pipelines to safeguard multi-jurisdiction compliance.</w:t>
      </w:r>
    </w:p>
    <w:p>
      <w:pPr>
        <w:keepNext/>
        <w:spacing w:before="200" w:after="40"/>
      </w:pPr>
      <w:r>
        <w:rPr>
          <w:b/>
          <w:color w:val="2D3748"/>
          <w:sz w:val="22"/>
        </w:rPr>
        <w:t>🏢 Hon Hai Precision Industry Co., Ltd. (Foxconn)</w:t>
      </w:r>
    </w:p>
    <w:p>
      <w:pPr>
        <w:keepNext/>
        <w:spacing w:before="0" w:after="80"/>
      </w:pPr>
      <w:r>
        <w:rPr>
          <w:b/>
          <w:color w:val="DE5814"/>
          <w:sz w:val="20"/>
        </w:rPr>
        <w:t>📌 Role: Technology Director, Central IT (中央資訊 技術處長)</w:t>
      </w:r>
      <w:r>
        <w:rPr>
          <w:color w:val="64748B"/>
          <w:sz w:val="18"/>
        </w:rPr>
        <w:t xml:space="preserve"> | Scope: Global Mega-Scale Manufacturing Central IT Governance</w:t>
      </w:r>
    </w:p>
    <w:p>
      <w:pPr>
        <w:pStyle w:val="ListBullet"/>
        <w:spacing w:before="0" w:after="40"/>
      </w:pPr>
      <w:r>
        <w:rPr>
          <w:color w:val="2D3748"/>
          <w:sz w:val="18"/>
        </w:rPr>
        <w:t>Commanded Central IT Enterprise Architecture Decisions, authoring unified technology governance standards across multi-billion dollar manufacturing business groups.</w:t>
      </w:r>
    </w:p>
    <w:p>
      <w:pPr>
        <w:pStyle w:val="ListBullet"/>
        <w:spacing w:before="0" w:after="40"/>
      </w:pPr>
      <w:r>
        <w:rPr>
          <w:color w:val="2D3748"/>
          <w:sz w:val="18"/>
        </w:rPr>
        <w:t>Spearheaded comprehensive SWOT and IT Capability Gap Analyses across business units, prioritizing strategic tech investments and modernization roadmaps.</w:t>
      </w:r>
    </w:p>
    <w:p>
      <w:pPr>
        <w:pStyle w:val="ListBullet"/>
        <w:spacing w:before="0" w:after="40"/>
      </w:pPr>
      <w:r>
        <w:rPr>
          <w:color w:val="2D3748"/>
          <w:sz w:val="18"/>
        </w:rPr>
        <w:t>Served as the key translator bridging executive boardroom business goals into actionable digital transformation programs and high-resiliency architectures.</w:t>
      </w:r>
    </w:p>
    <w:p>
      <w:pPr>
        <w:pStyle w:val="ListBullet"/>
        <w:spacing w:before="0" w:after="40"/>
      </w:pPr>
      <w:r>
        <w:rPr>
          <w:color w:val="2D3748"/>
          <w:sz w:val="18"/>
        </w:rPr>
        <w:t>Engineered global supply chain and manufacturing architecture blueprints, establishing seamless cross-regional data pipeline integration.</w:t>
      </w:r>
    </w:p>
    <w:p>
      <w:pPr>
        <w:keepNext/>
        <w:spacing w:before="200" w:after="40"/>
      </w:pPr>
      <w:r>
        <w:rPr>
          <w:b/>
          <w:color w:val="2D3748"/>
          <w:sz w:val="22"/>
        </w:rPr>
        <w:t>🏢 Hongyan Technology (Chiffon Group Smart Manufacturing &amp; Supply Chain)</w:t>
      </w:r>
      <w:r>
        <w:rPr>
          <w:b/>
          <w:color w:val="D97706"/>
          <w:sz w:val="19"/>
        </w:rPr>
        <w:t xml:space="preserve"> | 2018.03 – 2022.08</w:t>
      </w:r>
    </w:p>
    <w:p>
      <w:pPr>
        <w:keepNext/>
        <w:spacing w:before="0" w:after="80"/>
      </w:pPr>
      <w:r>
        <w:rPr>
          <w:b/>
          <w:color w:val="DE5814"/>
          <w:sz w:val="20"/>
        </w:rPr>
        <w:t>📌 Role: IT Director / CISO</w:t>
      </w:r>
      <w:r>
        <w:rPr>
          <w:color w:val="64748B"/>
          <w:sz w:val="18"/>
        </w:rPr>
        <w:t xml:space="preserve"> | Scope: Taiwan / Shenzhen / Shanghai / Kunshan / Thailand | Budget: $4.0M USD</w:t>
      </w:r>
    </w:p>
    <w:p>
      <w:pPr>
        <w:pStyle w:val="ListBullet"/>
        <w:spacing w:before="0" w:after="40"/>
      </w:pPr>
      <w:r>
        <w:rPr>
          <w:color w:val="2D3748"/>
          <w:sz w:val="18"/>
        </w:rPr>
        <w:t>Executed SAP S/4HANA Clean Core strategy, standardizing core processes and externalizing customizations, eliminating 35% of legacy technical debt.</w:t>
      </w:r>
    </w:p>
    <w:p>
      <w:pPr>
        <w:pStyle w:val="ListBullet"/>
        <w:spacing w:before="0" w:after="40"/>
      </w:pPr>
      <w:r>
        <w:rPr>
          <w:color w:val="2D3748"/>
          <w:sz w:val="18"/>
        </w:rPr>
        <w:t>Unified end-to-end data pipelines across ERP, MES, PLM, and APS, eliminating siloed factory communication barriers.</w:t>
      </w:r>
    </w:p>
    <w:p>
      <w:pPr>
        <w:pStyle w:val="ListBullet"/>
        <w:spacing w:before="0" w:after="40"/>
      </w:pPr>
      <w:r>
        <w:rPr>
          <w:color w:val="2D3748"/>
          <w:sz w:val="18"/>
        </w:rPr>
        <w:t>Constructed mobile BI War Room backed by ELK stack for real-time plant OEE and yield observability, lifting line yield by 15%, reducing IT maintenance costs by 25%, and resolving multimillion-dollar inventory gridlocks.</w:t>
      </w:r>
    </w:p>
    <w:p>
      <w:pPr>
        <w:keepNext/>
        <w:spacing w:before="200" w:after="40"/>
      </w:pPr>
      <w:r>
        <w:rPr>
          <w:b/>
          <w:color w:val="2D3748"/>
          <w:sz w:val="22"/>
        </w:rPr>
        <w:t>🏢 Sysware Technology Co., Ltd.</w:t>
      </w:r>
      <w:r>
        <w:rPr>
          <w:b/>
          <w:color w:val="D97706"/>
          <w:sz w:val="19"/>
        </w:rPr>
        <w:t xml:space="preserve"> | 2014.05 – 2018.02</w:t>
      </w:r>
    </w:p>
    <w:p>
      <w:pPr>
        <w:keepNext/>
        <w:spacing w:before="0" w:after="80"/>
      </w:pPr>
      <w:r>
        <w:rPr>
          <w:b/>
          <w:color w:val="DE5814"/>
          <w:sz w:val="20"/>
        </w:rPr>
        <w:t>📌 Role: Senior Architect / IT Manager</w:t>
      </w:r>
      <w:r>
        <w:rPr>
          <w:color w:val="64748B"/>
          <w:sz w:val="18"/>
        </w:rPr>
        <w:t xml:space="preserve"> | Scope: Taipei / Beijing / Thailand</w:t>
      </w:r>
    </w:p>
    <w:p>
      <w:pPr>
        <w:pStyle w:val="ListBullet"/>
        <w:spacing w:before="0" w:after="40"/>
      </w:pPr>
      <w:r>
        <w:rPr>
          <w:color w:val="2D3748"/>
          <w:sz w:val="18"/>
        </w:rPr>
        <w:t>Orchestrated Asia-Pacific data center consolidation, implementing high-availability disaster recovery and unified directory services.</w:t>
      </w:r>
    </w:p>
    <w:p>
      <w:pPr>
        <w:pStyle w:val="ListBullet"/>
        <w:spacing w:before="0" w:after="40"/>
      </w:pPr>
      <w:r>
        <w:rPr>
          <w:color w:val="2D3748"/>
          <w:sz w:val="18"/>
        </w:rPr>
        <w:t>Embedded PMP and agile project management methodologies, ensuring 100% audit compliance and on-time delivery for government and tier-1 banking systems.</w:t>
      </w:r>
    </w:p>
    <w:p>
      <w:pPr>
        <w:keepNext/>
        <w:spacing w:before="200" w:after="40"/>
      </w:pPr>
      <w:r>
        <w:rPr>
          <w:b/>
          <w:color w:val="2D3748"/>
          <w:sz w:val="22"/>
        </w:rPr>
        <w:t>🏢 Kunnan Enterprises / Fengchen Group</w:t>
      </w:r>
      <w:r>
        <w:rPr>
          <w:b/>
          <w:color w:val="D97706"/>
          <w:sz w:val="19"/>
        </w:rPr>
        <w:t xml:space="preserve"> | 2011.08 – 2014.04</w:t>
      </w:r>
    </w:p>
    <w:p>
      <w:pPr>
        <w:keepNext/>
        <w:spacing w:before="0" w:after="80"/>
      </w:pPr>
      <w:r>
        <w:rPr>
          <w:b/>
          <w:color w:val="DE5814"/>
          <w:sz w:val="20"/>
        </w:rPr>
        <w:t>📌 Role: System Engineer / IT Project Manager</w:t>
      </w:r>
      <w:r>
        <w:rPr>
          <w:color w:val="64748B"/>
          <w:sz w:val="18"/>
        </w:rPr>
        <w:t xml:space="preserve"> | Scope: Global Multi-Site Supply Chain</w:t>
      </w:r>
    </w:p>
    <w:p>
      <w:pPr>
        <w:pStyle w:val="ListBullet"/>
        <w:spacing w:before="0" w:after="40"/>
      </w:pPr>
      <w:r>
        <w:rPr>
          <w:color w:val="2D3748"/>
          <w:sz w:val="18"/>
        </w:rPr>
        <w:t>Executed complex data cleaning and master data reconciliation during cross-border M&amp;A, harmonizing heterogeneous POS/CRM systems for zero business interruption (BCP).</w:t>
      </w:r>
    </w:p>
    <w:p>
      <w:pPr>
        <w:keepNext/>
        <w:spacing w:before="200" w:after="40"/>
      </w:pPr>
      <w:r>
        <w:rPr>
          <w:b/>
          <w:color w:val="2D3748"/>
          <w:sz w:val="22"/>
        </w:rPr>
        <w:t>🏢 Borland Software / Sybase Inc.</w:t>
      </w:r>
      <w:r>
        <w:rPr>
          <w:b/>
          <w:color w:val="D97706"/>
          <w:sz w:val="19"/>
        </w:rPr>
        <w:t xml:space="preserve"> | 2002.03 – 2011.07</w:t>
      </w:r>
    </w:p>
    <w:p>
      <w:pPr>
        <w:keepNext/>
        <w:spacing w:before="0" w:after="80"/>
      </w:pPr>
      <w:r>
        <w:rPr>
          <w:b/>
          <w:color w:val="DE5814"/>
          <w:sz w:val="20"/>
        </w:rPr>
        <w:t>📌 Role: Greater China Technology Lead / IT Manager</w:t>
      </w:r>
      <w:r>
        <w:rPr>
          <w:color w:val="64748B"/>
          <w:sz w:val="18"/>
        </w:rPr>
        <w:t xml:space="preserve"> | Scope: US Multinational Enterprise Tech Team</w:t>
      </w:r>
    </w:p>
    <w:p>
      <w:pPr>
        <w:pStyle w:val="ListBullet"/>
        <w:spacing w:before="0" w:after="40"/>
      </w:pPr>
      <w:r>
        <w:rPr>
          <w:color w:val="2D3748"/>
          <w:sz w:val="18"/>
        </w:rPr>
        <w:t>Led Greater China technical consulting and delivery teams for ALM software lifecycle management, enterprise middleware, and RDBMS solutions.</w:t>
      </w:r>
    </w:p>
    <w:p>
      <w:pPr>
        <w:pStyle w:val="ListBullet"/>
        <w:spacing w:before="0" w:after="40"/>
      </w:pPr>
      <w:r>
        <w:rPr>
          <w:color w:val="2D3748"/>
          <w:sz w:val="18"/>
        </w:rPr>
        <w:t>Architected carrier-grade high-availability database infrastructure for telecommunications and banking titans, sustaining 99.99% availability.</w:t>
      </w:r>
    </w:p>
    <w:p>
      <w:pPr>
        <w:keepNext/>
        <w:spacing w:before="280" w:after="120"/>
      </w:pPr>
      <w:r>
        <w:rPr>
          <w:b/>
          <w:color w:val="A83212"/>
          <w:sz w:val="26"/>
        </w:rPr>
        <w:t>IV. Academic Foundation, Publications &amp; National Archives</w:t>
      </w:r>
    </w:p>
    <w:p>
      <w:pPr>
        <w:pStyle w:val="ListBullet"/>
        <w:spacing w:before="40" w:after="40"/>
      </w:pPr>
      <w:r>
        <w:rPr>
          <w:b/>
          <w:color w:val="2D3748"/>
          <w:sz w:val="19"/>
        </w:rPr>
        <w:t>🎓 Ph.D. in Information Technology Management | Chaoyang University of Technology (2014.10)</w:t>
        <w:br/>
      </w:r>
      <w:r>
        <w:rPr>
          <w:color w:val="64748B"/>
          <w:sz w:val="18"/>
        </w:rPr>
        <w:t>Doctoral Dissertation: "A Study on Business Self-Service Portal for Integrated Systems Based on Adaptive Service-Oriented Architecture IT Governance", permanently archived in the National Central Library of Taiwan (ndltd.ncl.edu.tw). Specialized in multi-cloud IT governance models, SOA, and enterprise risk matrices.</w:t>
      </w:r>
    </w:p>
    <w:p>
      <w:pPr>
        <w:pStyle w:val="ListBullet"/>
        <w:spacing w:before="40" w:after="40"/>
      </w:pPr>
      <w:r>
        <w:rPr>
          <w:b/>
          <w:color w:val="2D3748"/>
          <w:sz w:val="19"/>
        </w:rPr>
        <w:t>🎓 Master in Information Technology Management | National Chung Hsing University / CYUT (2006.06)</w:t>
        <w:br/>
      </w:r>
      <w:r>
        <w:rPr>
          <w:color w:val="64748B"/>
          <w:sz w:val="18"/>
        </w:rPr>
        <w:t>Majored in modern cryptography, data mining, and decision support systems; served as Co-Principal Investigator for the Ministry of Health and Welfare Taichung Hospital Healthcare Cloud Project.</w:t>
      </w:r>
    </w:p>
    <w:p>
      <w:pPr>
        <w:pStyle w:val="ListBullet"/>
        <w:spacing w:before="40" w:after="40"/>
      </w:pPr>
      <w:r>
        <w:rPr>
          <w:b/>
          <w:color w:val="2D3748"/>
          <w:sz w:val="19"/>
        </w:rPr>
        <w:t>📄 SCI Top-Tier International Journal Publication (First Author) | Springer: Multimedia Tools and Applications (2014.06)</w:t>
        <w:br/>
      </w:r>
      <w:r>
        <w:rPr>
          <w:color w:val="64748B"/>
          <w:sz w:val="18"/>
        </w:rPr>
        <w:t>Authored seminal research: "Reversible secret-image sharing with high visual quality" (DOI: 10.1007/s11042-014-2014-x), advancing reversible image steganography and information security defenses.</w:t>
      </w:r>
    </w:p>
    <w:p>
      <w:pPr>
        <w:pStyle w:val="ListBullet"/>
        <w:spacing w:before="40" w:after="40"/>
      </w:pPr>
      <w:r>
        <w:rPr>
          <w:b/>
          <w:color w:val="2D3748"/>
          <w:sz w:val="19"/>
        </w:rPr>
        <w:t>🏛️ National Central Library Research Advisor ID | Taiwan National Theses &amp; Dissertations Knowledge Platform</w:t>
        <w:br/>
      </w:r>
      <w:r>
        <w:rPr>
          <w:color w:val="64748B"/>
          <w:sz w:val="18"/>
        </w:rPr>
        <w:t>Conferred National Academic Advisor ID: 106IKTC0183002, validating proven synergy of academic rigor and engineering excellence.</w:t>
      </w:r>
    </w:p>
    <w:p>
      <w:pPr>
        <w:keepNext/>
        <w:spacing w:before="280" w:after="120"/>
      </w:pPr>
      <w:r>
        <w:rPr>
          <w:b/>
          <w:color w:val="A83212"/>
          <w:sz w:val="26"/>
        </w:rPr>
        <w:t>V. Professional Certifications &amp; Executive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  <w:color w:val="DE5814"/>
                <w:sz w:val="18"/>
              </w:rPr>
              <w:t>Cybersecurity &amp; AI GRC</w:t>
            </w:r>
          </w:p>
        </w:tc>
        <w:tc>
          <w:tcPr>
            <w:tcW w:type="dxa" w:w="686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color w:val="2D3748"/>
                <w:sz w:val="17"/>
              </w:rPr>
              <w:t>• ISO 27001 Information Security Management System Lead Auditor</w:t>
              <w:br/>
              <w:t>• ISO 42001 (AIMS) Artificial Intelligence Management System Certified</w:t>
              <w:br/>
              <w:t>• NIST AI RMF Enterprise Risk Framework (In Progress: CISSP / CISM)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  <w:color w:val="DE5814"/>
                <w:sz w:val="18"/>
              </w:rPr>
              <w:t>Project Agile &amp; Marketing</w:t>
            </w:r>
          </w:p>
        </w:tc>
        <w:tc>
          <w:tcPr>
            <w:tcW w:type="dxa" w:w="686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color w:val="2D3748"/>
                <w:sz w:val="17"/>
              </w:rPr>
              <w:t>• PMP (Project Management Professional)</w:t>
              <w:br/>
              <w:t>• ScrumMaster CEO (CSM) Agile Leadership Certified</w:t>
              <w:br/>
              <w:t>• ESG Sustainability Manager | WBSA Certified Marketing Planner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  <w:color w:val="DE5814"/>
                <w:sz w:val="18"/>
              </w:rPr>
              <w:t>Enterprise Architecture &amp; ERP</w:t>
            </w:r>
          </w:p>
        </w:tc>
        <w:tc>
          <w:tcPr>
            <w:tcW w:type="dxa" w:w="686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color w:val="2D3748"/>
                <w:sz w:val="17"/>
              </w:rPr>
              <w:t>• Oracle EBS Supply Chain / Manufacture Module Certified Professional</w:t>
              <w:br/>
              <w:t>• BEA WebLogic Administrator | IBM Rational ALM</w:t>
              <w:br/>
              <w:t>• (In Progress: Google Cloud Professional Cloud Architect)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b/>
                <w:color w:val="DE5814"/>
                <w:sz w:val="18"/>
              </w:rPr>
              <w:t>Governance &amp; Board Service</w:t>
            </w:r>
          </w:p>
        </w:tc>
        <w:tc>
          <w:tcPr>
            <w:tcW w:type="dxa" w:w="686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  <w:insideH w:val="none"/>
              <w:insideV w:val="none"/>
            </w:tcBorders>
          </w:tcPr>
          <w:p>
            <w:r>
              <w:rPr>
                <w:color w:val="2D3748"/>
                <w:sz w:val="17"/>
              </w:rPr>
              <w:t>• Kang Shan Charity Foundation: Standing Board Member (Philanthropy &amp; Smart Healthcare)</w:t>
              <w:br/>
              <w:t>• Keynote Speaker: CIO Taiwan Institute / MongoDB.local Global Conference</w:t>
            </w:r>
          </w:p>
        </w:tc>
      </w:tr>
    </w:tbl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