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160"/>
        <w:gridCol w:w="7920"/>
      </w:tblGrid>
      <w:tr>
        <w:tc>
          <w:tcPr>
            <w:tcW w:type="dxa" w:w="2160"/>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234440" cy="1851660"/>
                  <wp:docPr id="1" name="Picture 1"/>
                  <wp:cNvGraphicFramePr>
                    <a:graphicFrameLocks noChangeAspect="1"/>
                  </wp:cNvGraphicFramePr>
                  <a:graphic>
                    <a:graphicData uri="http://schemas.openxmlformats.org/drawingml/2006/picture">
                      <pic:pic>
                        <pic:nvPicPr>
                          <pic:cNvPr id="0" name="composer_2026-08-21_07-55-16-061_53c1dd.jpg"/>
                          <pic:cNvPicPr/>
                        </pic:nvPicPr>
                        <pic:blipFill>
                          <a:blip r:embed="rId9"/>
                          <a:stretch>
                            <a:fillRect/>
                          </a:stretch>
                        </pic:blipFill>
                        <pic:spPr>
                          <a:xfrm>
                            <a:off x="0" y="0"/>
                            <a:ext cx="1234440" cy="1851660"/>
                          </a:xfrm>
                          <a:prstGeom prst="rect"/>
                        </pic:spPr>
                      </pic:pic>
                    </a:graphicData>
                  </a:graphic>
                </wp:inline>
              </w:drawing>
            </w:r>
          </w:p>
        </w:tc>
        <w:tc>
          <w:tcPr>
            <w:tcW w:type="dxa" w:w="7920"/>
            <w:vAlign w:val="top"/>
            <w:tcBorders>
              <w:top w:val="none"/>
              <w:left w:val="none"/>
              <w:bottom w:val="none"/>
              <w:right w:val="none"/>
            </w:tcBorders>
          </w:tcPr>
          <w:p>
            <w:pPr>
              <w:spacing w:before="0" w:after="40"/>
            </w:pPr>
            <w:r>
              <w:rPr>
                <w:rFonts w:ascii="Arial" w:hAnsi="Arial"/>
                <w:b/>
                <w:i w:val="0"/>
                <w:color w:val="0F2942"/>
                <w:sz w:val="38"/>
                <w:rFonts w:ascii="Arial" w:hAnsi="Arial" w:eastAsia="Microsoft JhengHei" w:cs="Arial"/>
              </w:rPr>
              <w:t>Howard Liao, Ph.D.</w:t>
            </w:r>
          </w:p>
          <w:p>
            <w:pPr>
              <w:spacing w:before="0" w:after="20"/>
            </w:pPr>
            <w:r>
              <w:rPr>
                <w:rFonts w:ascii="Arial" w:hAnsi="Arial"/>
                <w:b/>
                <w:i w:val="0"/>
                <w:color w:val="1E3A8A"/>
                <w:sz w:val="22"/>
                <w:rFonts w:ascii="Arial" w:hAnsi="Arial" w:eastAsia="Microsoft JhengHei" w:cs="Arial"/>
              </w:rPr>
              <w:t>Group Chief Information Security Officer (CISO)</w:t>
            </w:r>
          </w:p>
          <w:p>
            <w:pPr>
              <w:spacing w:before="0" w:after="80"/>
            </w:pPr>
            <w:r>
              <w:rPr>
                <w:rFonts w:ascii="Arial" w:hAnsi="Arial"/>
                <w:b/>
                <w:i w:val="0"/>
                <w:color w:val="334155"/>
                <w:sz w:val="20"/>
                <w:rFonts w:ascii="Arial" w:hAnsi="Arial" w:eastAsia="Microsoft JhengHei" w:cs="Arial"/>
              </w:rPr>
              <w:t>Global Cybersecurity, Digital Trust &amp; Resilience</w:t>
            </w:r>
          </w:p>
          <w:p>
            <w:pPr>
              <w:spacing w:before="0" w:after="20"/>
            </w:pPr>
            <w:r>
              <w:rPr>
                <w:rFonts w:ascii="Arial" w:hAnsi="Arial"/>
                <w:b w:val="0"/>
                <w:i w:val="0"/>
                <w:color w:val="334155"/>
                <w:sz w:val="18"/>
                <w:rFonts w:ascii="Arial" w:hAnsi="Arial" w:eastAsia="Microsoft JhengHei" w:cs="Arial"/>
              </w:rPr>
              <w:t>Taiwan (Open to Global Sites)  |  Mobile: +886-975-323161  |  Email: Liao.Howard@gmail.com</w:t>
            </w:r>
          </w:p>
          <w:p>
            <w:pPr>
              <w:spacing w:before="0" w:after="0"/>
            </w:pPr>
            <w:r>
              <w:rPr>
                <w:rFonts w:ascii="Arial" w:hAnsi="Arial"/>
                <w:b w:val="0"/>
                <w:i w:val="0"/>
                <w:color w:val="334155"/>
                <w:sz w:val="18"/>
                <w:rFonts w:ascii="Arial" w:hAnsi="Arial" w:eastAsia="Microsoft JhengHei" w:cs="Arial"/>
              </w:rPr>
              <w:t>LinkedIn: linkedin.com/in/howardliao78  |  Portfolio: https://howardliao.github.io/portfolio/</w:t>
            </w:r>
          </w:p>
        </w:tc>
      </w:tr>
    </w:tbl>
    <w:p>
      <w:pPr>
        <w:spacing w:before="120" w:after="0"/>
      </w:pPr>
    </w:p>
    <w:p>
      <w:pPr>
        <w:keepNext/>
        <w:spacing w:before="280" w:after="80"/>
        <w:pBdr>
          <w:bottom w:val="single" w:sz="12" w:space="3" w:color="1E3A8A"/>
        </w:pBdr>
      </w:pPr>
      <w:r>
        <w:rPr>
          <w:rFonts w:ascii="Arial" w:hAnsi="Arial"/>
          <w:b/>
          <w:i w:val="0"/>
          <w:color w:val="0F2942"/>
          <w:sz w:val="26"/>
          <w:rFonts w:ascii="Arial" w:hAnsi="Arial" w:eastAsia="Microsoft JhengHei" w:cs="Arial"/>
        </w:rPr>
        <w:t>Executive Profile</w:t>
      </w:r>
    </w:p>
    <w:p>
      <w:pPr>
        <w:spacing w:before="0" w:after="80" w:line="276" w:lineRule="auto"/>
      </w:pPr>
      <w:r>
        <w:rPr>
          <w:rFonts w:ascii="Arial" w:hAnsi="Arial"/>
          <w:b w:val="0"/>
          <w:i w:val="0"/>
          <w:color w:val="1F2937"/>
          <w:sz w:val="19"/>
          <w:rFonts w:ascii="Arial" w:hAnsi="Arial" w:eastAsia="Microsoft JhengHei" w:cs="Arial"/>
        </w:rPr>
        <w:t>CISO-level technology executive with 27+ years of enterprise IT leadership, 15+ years of cybersecurity experience, and 10+ years leading cybersecurity strategy, cloud governance, digital resilience, and enterprise transformation across publicly listed, multinational, and regulated business environments.</w:t>
      </w:r>
    </w:p>
    <w:p>
      <w:pPr>
        <w:spacing w:before="0" w:after="80" w:line="276" w:lineRule="auto"/>
      </w:pPr>
      <w:r>
        <w:rPr>
          <w:rFonts w:ascii="Arial" w:hAnsi="Arial"/>
          <w:b w:val="0"/>
          <w:i w:val="0"/>
          <w:color w:val="1F2937"/>
          <w:sz w:val="19"/>
          <w:rFonts w:ascii="Arial" w:hAnsi="Arial" w:eastAsia="Microsoft JhengHei" w:cs="Arial"/>
        </w:rPr>
        <w:t>Combines board-level cybersecurity leadership with hands-on technical depth in Zero Trust, identity and access management, multi-cloud security, SOC/SIEM/EDR, incident response, DevSecOps, data protection, third-party risk management, and AI governance.</w:t>
      </w:r>
    </w:p>
    <w:p>
      <w:pPr>
        <w:spacing w:before="0" w:after="80" w:line="276" w:lineRule="auto"/>
      </w:pPr>
      <w:r>
        <w:rPr>
          <w:rFonts w:ascii="Arial" w:hAnsi="Arial"/>
          <w:b w:val="0"/>
          <w:i w:val="0"/>
          <w:color w:val="1F2937"/>
          <w:sz w:val="19"/>
          <w:rFonts w:ascii="Arial" w:hAnsi="Arial" w:eastAsia="Microsoft JhengHei" w:cs="Arial"/>
        </w:rPr>
        <w:t>Experienced in securing business-critical systems, sensitive records, intellectual property, enterprise applications, cloud/SaaS platforms, and cross-border data flows. Applies a pragmatic, risk-based approach to improving security maturity, operational resilience, audit readiness, recoverability, and digital trust.</w:t>
      </w:r>
    </w:p>
    <w:p>
      <w:pPr>
        <w:spacing w:before="0" w:after="80" w:line="276" w:lineRule="auto"/>
      </w:pPr>
      <w:r>
        <w:rPr>
          <w:rFonts w:ascii="Arial" w:hAnsi="Arial"/>
          <w:b w:val="0"/>
          <w:i w:val="0"/>
          <w:color w:val="1F2937"/>
          <w:sz w:val="19"/>
          <w:rFonts w:ascii="Arial" w:hAnsi="Arial" w:eastAsia="Microsoft JhengHei" w:cs="Arial"/>
        </w:rPr>
        <w:t>Proven record of translating cybersecurity risks and technical priorities into measurable business, financial, operational, and compliance outcomes for boards and executive leadership. Builds scalable security operating models that enable international growth while protecting critical assets and improving business continuity.</w:t>
      </w:r>
    </w:p>
    <w:p>
      <w:pPr>
        <w:spacing w:before="0" w:after="80" w:line="276" w:lineRule="auto"/>
      </w:pPr>
      <w:r>
        <w:rPr>
          <w:rFonts w:ascii="Arial" w:hAnsi="Arial"/>
          <w:b w:val="0"/>
          <w:i w:val="0"/>
          <w:color w:val="1F2937"/>
          <w:sz w:val="19"/>
          <w:rFonts w:ascii="Arial" w:hAnsi="Arial" w:eastAsia="Microsoft JhengHei" w:cs="Arial"/>
        </w:rPr>
        <w:t>Prior experience in IT/OT convergence and multi-site industrial environments provides additional capability for complex infrastructure, operational resilience, supply-chain integration, and partner ecosystem security.</w:t>
      </w:r>
    </w:p>
    <w:p>
      <w:pPr>
        <w:keepNext/>
        <w:spacing w:before="280" w:after="80"/>
        <w:pBdr>
          <w:bottom w:val="single" w:sz="12" w:space="3" w:color="1E3A8A"/>
        </w:pBdr>
      </w:pPr>
      <w:r>
        <w:rPr>
          <w:rFonts w:ascii="Arial" w:hAnsi="Arial"/>
          <w:b/>
          <w:i w:val="0"/>
          <w:color w:val="0F2942"/>
          <w:sz w:val="26"/>
          <w:rFonts w:ascii="Arial" w:hAnsi="Arial" w:eastAsia="Microsoft JhengHei" w:cs="Arial"/>
        </w:rPr>
        <w:t>Leadership Value Proposition</w:t>
      </w:r>
    </w:p>
    <w:p>
      <w:pPr>
        <w:pStyle w:val="ListBullet"/>
        <w:spacing w:before="0" w:after="40" w:line="276" w:lineRule="auto"/>
        <w:ind w:left="317"/>
      </w:pPr>
      <w:r>
        <w:rPr>
          <w:rFonts w:ascii="Arial" w:hAnsi="Arial"/>
          <w:b/>
          <w:i w:val="0"/>
          <w:color w:val="1F2937"/>
          <w:sz w:val="19"/>
          <w:rFonts w:ascii="Arial" w:hAnsi="Arial" w:eastAsia="Microsoft JhengHei" w:cs="Arial"/>
        </w:rPr>
        <w:t>CISO and board leadership:</w:t>
      </w:r>
      <w:r>
        <w:rPr>
          <w:rFonts w:ascii="Arial" w:hAnsi="Arial"/>
          <w:b w:val="0"/>
          <w:i w:val="0"/>
          <w:color w:val="1F2937"/>
          <w:sz w:val="19"/>
          <w:rFonts w:ascii="Arial" w:hAnsi="Arial" w:eastAsia="Microsoft JhengHei" w:cs="Arial"/>
        </w:rPr>
        <w:t xml:space="preserve"> Translates security posture, risk exposure, incidents, investment priorities, and control gaps into business impact through risk matrices, RTO/RPO, SLA, ROI/TCO, and maturity roadmaps.</w:t>
      </w:r>
    </w:p>
    <w:p>
      <w:pPr>
        <w:pStyle w:val="ListBullet"/>
        <w:spacing w:before="0" w:after="40" w:line="276" w:lineRule="auto"/>
        <w:ind w:left="317"/>
      </w:pPr>
      <w:r>
        <w:rPr>
          <w:rFonts w:ascii="Arial" w:hAnsi="Arial"/>
          <w:b/>
          <w:i w:val="0"/>
          <w:color w:val="1F2937"/>
          <w:sz w:val="19"/>
          <w:rFonts w:ascii="Arial" w:hAnsi="Arial" w:eastAsia="Microsoft JhengHei" w:cs="Arial"/>
        </w:rPr>
        <w:t>Group security governance:</w:t>
      </w:r>
      <w:r>
        <w:rPr>
          <w:rFonts w:ascii="Arial" w:hAnsi="Arial"/>
          <w:b w:val="0"/>
          <w:i w:val="0"/>
          <w:color w:val="1F2937"/>
          <w:sz w:val="19"/>
          <w:rFonts w:ascii="Arial" w:hAnsi="Arial" w:eastAsia="Microsoft JhengHei" w:cs="Arial"/>
        </w:rPr>
        <w:t xml:space="preserve"> Establishes group-wide security operating models across headquarters, international sites, cloud environments, SaaS platforms, managed-service providers, and business partners.</w:t>
      </w:r>
    </w:p>
    <w:p>
      <w:pPr>
        <w:pStyle w:val="ListBullet"/>
        <w:spacing w:before="0" w:after="40" w:line="276" w:lineRule="auto"/>
        <w:ind w:left="317"/>
      </w:pPr>
      <w:r>
        <w:rPr>
          <w:rFonts w:ascii="Arial" w:hAnsi="Arial"/>
          <w:b/>
          <w:i w:val="0"/>
          <w:color w:val="1F2937"/>
          <w:sz w:val="19"/>
          <w:rFonts w:ascii="Arial" w:hAnsi="Arial" w:eastAsia="Microsoft JhengHei" w:cs="Arial"/>
        </w:rPr>
        <w:t>Digital trust and resilience:</w:t>
      </w:r>
      <w:r>
        <w:rPr>
          <w:rFonts w:ascii="Arial" w:hAnsi="Arial"/>
          <w:b w:val="0"/>
          <w:i w:val="0"/>
          <w:color w:val="1F2937"/>
          <w:sz w:val="19"/>
          <w:rFonts w:ascii="Arial" w:hAnsi="Arial" w:eastAsia="Microsoft JhengHei" w:cs="Arial"/>
        </w:rPr>
        <w:t xml:space="preserve"> Protects critical enterprise systems, confidential records, intellectual property, and sensitive information through identity governance, security monitoring, encryption, auditability, backup, recovery, and incident readiness.</w:t>
      </w:r>
    </w:p>
    <w:p>
      <w:pPr>
        <w:pStyle w:val="ListBullet"/>
        <w:spacing w:before="0" w:after="40" w:line="276" w:lineRule="auto"/>
        <w:ind w:left="317"/>
      </w:pPr>
      <w:r>
        <w:rPr>
          <w:rFonts w:ascii="Arial" w:hAnsi="Arial"/>
          <w:b/>
          <w:i w:val="0"/>
          <w:color w:val="1F2937"/>
          <w:sz w:val="19"/>
          <w:rFonts w:ascii="Arial" w:hAnsi="Arial" w:eastAsia="Microsoft JhengHei" w:cs="Arial"/>
        </w:rPr>
        <w:t>Cloud-native technical depth:</w:t>
      </w:r>
      <w:r>
        <w:rPr>
          <w:rFonts w:ascii="Arial" w:hAnsi="Arial"/>
          <w:b w:val="0"/>
          <w:i w:val="0"/>
          <w:color w:val="1F2937"/>
          <w:sz w:val="19"/>
          <w:rFonts w:ascii="Arial" w:hAnsi="Arial" w:eastAsia="Microsoft JhengHei" w:cs="Arial"/>
        </w:rPr>
        <w:t xml:space="preserve"> Combines executive strategy with practical experience across AWS, Azure, GCP, Kubernetes/GKE, Zero Trust, API security, WAF/WAAP, SIEM/SOC, EDR/XDR, DevSecOps, and infrastructure automation.</w:t>
      </w:r>
    </w:p>
    <w:p>
      <w:pPr>
        <w:pStyle w:val="ListBullet"/>
        <w:spacing w:before="0" w:after="40" w:line="276" w:lineRule="auto"/>
        <w:ind w:left="317"/>
      </w:pPr>
      <w:r>
        <w:rPr>
          <w:rFonts w:ascii="Arial" w:hAnsi="Arial"/>
          <w:b/>
          <w:i w:val="0"/>
          <w:color w:val="1F2937"/>
          <w:sz w:val="19"/>
          <w:rFonts w:ascii="Arial" w:hAnsi="Arial" w:eastAsia="Microsoft JhengHei" w:cs="Arial"/>
        </w:rPr>
        <w:t>AI governance:</w:t>
      </w:r>
      <w:r>
        <w:rPr>
          <w:rFonts w:ascii="Arial" w:hAnsi="Arial"/>
          <w:b w:val="0"/>
          <w:i w:val="0"/>
          <w:color w:val="1F2937"/>
          <w:sz w:val="19"/>
          <w:rFonts w:ascii="Arial" w:hAnsi="Arial" w:eastAsia="Microsoft JhengHei" w:cs="Arial"/>
        </w:rPr>
        <w:t xml:space="preserve"> Implements ISO/IEC 42001-based AI governance to enable responsible AI adoption while controlling shadow AI, data leakage, IP exposure, third-party model risk, and operational risk.</w:t>
      </w:r>
    </w:p>
    <w:p>
      <w:pPr>
        <w:pStyle w:val="ListBullet"/>
        <w:spacing w:before="0" w:after="40" w:line="276" w:lineRule="auto"/>
        <w:ind w:left="317"/>
      </w:pPr>
      <w:r>
        <w:rPr>
          <w:rFonts w:ascii="Arial" w:hAnsi="Arial"/>
          <w:b/>
          <w:i w:val="0"/>
          <w:color w:val="1F2937"/>
          <w:sz w:val="19"/>
          <w:rFonts w:ascii="Arial" w:hAnsi="Arial" w:eastAsia="Microsoft JhengHei" w:cs="Arial"/>
        </w:rPr>
        <w:t>Business-enabling mindset:</w:t>
      </w:r>
      <w:r>
        <w:rPr>
          <w:rFonts w:ascii="Arial" w:hAnsi="Arial"/>
          <w:b w:val="0"/>
          <w:i w:val="0"/>
          <w:color w:val="1F2937"/>
          <w:sz w:val="19"/>
          <w:rFonts w:ascii="Arial" w:hAnsi="Arial" w:eastAsia="Microsoft JhengHei" w:cs="Arial"/>
        </w:rPr>
        <w:t xml:space="preserve"> Works closely with business, finance, legal, HR, engineering, operations, product, and IT leaders to embed cybersecurity into growth, transformation, and customer trust.</w:t>
      </w:r>
    </w:p>
    <w:p>
      <w:pPr>
        <w:keepNext/>
        <w:spacing w:before="280" w:after="80"/>
        <w:pBdr>
          <w:bottom w:val="single" w:sz="12" w:space="3" w:color="1E3A8A"/>
        </w:pBdr>
      </w:pPr>
      <w:r>
        <w:rPr>
          <w:rFonts w:ascii="Arial" w:hAnsi="Arial"/>
          <w:b/>
          <w:i w:val="0"/>
          <w:color w:val="0F2942"/>
          <w:sz w:val="26"/>
          <w:rFonts w:ascii="Arial" w:hAnsi="Arial" w:eastAsia="Microsoft JhengHei" w:cs="Arial"/>
        </w:rPr>
        <w:t>Core Competencies</w:t>
      </w:r>
    </w:p>
    <w:p>
      <w:pPr>
        <w:keepNext/>
        <w:spacing w:before="160" w:after="40"/>
      </w:pPr>
      <w:r>
        <w:rPr>
          <w:rFonts w:ascii="Arial" w:hAnsi="Arial"/>
          <w:b/>
          <w:i w:val="0"/>
          <w:color w:val="1E3A8A"/>
          <w:sz w:val="21"/>
          <w:rFonts w:ascii="Arial" w:hAnsi="Arial" w:eastAsia="Microsoft JhengHei" w:cs="Arial"/>
        </w:rPr>
        <w:t>Cybersecurity Strategy, Governance &amp; Risk</w:t>
      </w:r>
    </w:p>
    <w:p>
      <w:pPr>
        <w:pStyle w:val="ListBullet"/>
        <w:spacing w:before="0" w:after="40" w:line="276" w:lineRule="auto"/>
        <w:ind w:left="317"/>
      </w:pPr>
      <w:r>
        <w:rPr>
          <w:rFonts w:ascii="Arial" w:hAnsi="Arial"/>
          <w:b w:val="0"/>
          <w:i w:val="0"/>
          <w:color w:val="1F2937"/>
          <w:sz w:val="19"/>
          <w:rFonts w:ascii="Arial" w:hAnsi="Arial" w:eastAsia="Microsoft JhengHei" w:cs="Arial"/>
        </w:rPr>
        <w:t>Group cybersecurity strategy, operating model, policy architecture, risk appetite, maturity assessments, KPI/KRI design, executive reporting, and multi-year security roadmaps.</w:t>
      </w:r>
    </w:p>
    <w:p>
      <w:pPr>
        <w:pStyle w:val="ListBullet"/>
        <w:spacing w:before="0" w:after="40" w:line="276" w:lineRule="auto"/>
        <w:ind w:left="317"/>
      </w:pPr>
      <w:r>
        <w:rPr>
          <w:rFonts w:ascii="Arial" w:hAnsi="Arial"/>
          <w:b w:val="0"/>
          <w:i w:val="0"/>
          <w:color w:val="1F2937"/>
          <w:sz w:val="19"/>
          <w:rFonts w:ascii="Arial" w:hAnsi="Arial" w:eastAsia="Microsoft JhengHei" w:cs="Arial"/>
        </w:rPr>
        <w:t>ISO 27001/27002, NIST Cybersecurity Framework, Zero Trust architecture, risk management, vendor risk, security due diligence, audit readiness, and security control assessment.</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investment governance through risk reduction, ROI/TCO, RTO/RPO, SLA, business continuity, and measurable value realization.</w:t>
      </w:r>
    </w:p>
    <w:p>
      <w:pPr>
        <w:pStyle w:val="ListBullet"/>
        <w:spacing w:before="0" w:after="40" w:line="276" w:lineRule="auto"/>
        <w:ind w:left="317"/>
      </w:pPr>
      <w:r>
        <w:rPr>
          <w:rFonts w:ascii="Arial" w:hAnsi="Arial"/>
          <w:b w:val="0"/>
          <w:i w:val="0"/>
          <w:color w:val="1F2937"/>
          <w:sz w:val="19"/>
          <w:rFonts w:ascii="Arial" w:hAnsi="Arial" w:eastAsia="Microsoft JhengHei" w:cs="Arial"/>
        </w:rPr>
        <w:t>Board reporting, audit engagement, customer security reviews, crisis governance, and executive stakeholder management.</w:t>
      </w:r>
    </w:p>
    <w:p>
      <w:pPr>
        <w:keepNext/>
        <w:spacing w:before="160" w:after="40"/>
      </w:pPr>
      <w:r>
        <w:rPr>
          <w:rFonts w:ascii="Arial" w:hAnsi="Arial"/>
          <w:b/>
          <w:i w:val="0"/>
          <w:color w:val="1E3A8A"/>
          <w:sz w:val="21"/>
          <w:rFonts w:ascii="Arial" w:hAnsi="Arial" w:eastAsia="Microsoft JhengHei" w:cs="Arial"/>
        </w:rPr>
        <w:t>Digital Trust, Data Governance &amp; Auditability</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governance for critical business systems, confidential records, sensitive data, intellectual property, enterprise workflows, and digital platforms.</w:t>
      </w:r>
    </w:p>
    <w:p>
      <w:pPr>
        <w:pStyle w:val="ListBullet"/>
        <w:spacing w:before="0" w:after="40" w:line="276" w:lineRule="auto"/>
        <w:ind w:left="317"/>
      </w:pPr>
      <w:r>
        <w:rPr>
          <w:rFonts w:ascii="Arial" w:hAnsi="Arial"/>
          <w:b w:val="0"/>
          <w:i w:val="0"/>
          <w:color w:val="1F2937"/>
          <w:sz w:val="19"/>
          <w:rFonts w:ascii="Arial" w:hAnsi="Arial" w:eastAsia="Microsoft JhengHei" w:cs="Arial"/>
        </w:rPr>
        <w:t>System inventory, business-criticality classification, risk assessment, security control baselines, evidence management, and security operating procedures.</w:t>
      </w:r>
    </w:p>
    <w:p>
      <w:pPr>
        <w:pStyle w:val="ListBullet"/>
        <w:spacing w:before="0" w:after="40" w:line="276" w:lineRule="auto"/>
        <w:ind w:left="317"/>
      </w:pPr>
      <w:r>
        <w:rPr>
          <w:rFonts w:ascii="Arial" w:hAnsi="Arial"/>
          <w:b w:val="0"/>
          <w:i w:val="0"/>
          <w:color w:val="1F2937"/>
          <w:sz w:val="19"/>
          <w:rFonts w:ascii="Arial" w:hAnsi="Arial" w:eastAsia="Microsoft JhengHei" w:cs="Arial"/>
        </w:rPr>
        <w:t>Least privilege, segregation of duties, access recertification, logging, audit-trail protection, encryption, backup, recovery, and change-control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Data lifecycle controls covering classification, access, retention, archival, deletion, integrity, traceability, availability, and recoverability.</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architecture and supplier assurance for ERP, CRM, HRIS, finance, document management, workflow, data platforms, collaboration tools, and SaaS ecosystems.</w:t>
      </w:r>
    </w:p>
    <w:p>
      <w:pPr>
        <w:keepNext/>
        <w:spacing w:before="160" w:after="40"/>
      </w:pPr>
      <w:r>
        <w:rPr>
          <w:rFonts w:ascii="Arial" w:hAnsi="Arial"/>
          <w:b/>
          <w:i w:val="0"/>
          <w:color w:val="1E3A8A"/>
          <w:sz w:val="21"/>
          <w:rFonts w:ascii="Arial" w:hAnsi="Arial" w:eastAsia="Microsoft JhengHei" w:cs="Arial"/>
        </w:rPr>
        <w:t>Identity, Zero Trust &amp; Data Protection</w:t>
      </w:r>
    </w:p>
    <w:p>
      <w:pPr>
        <w:pStyle w:val="ListBullet"/>
        <w:spacing w:before="0" w:after="40" w:line="276" w:lineRule="auto"/>
        <w:ind w:left="317"/>
      </w:pPr>
      <w:r>
        <w:rPr>
          <w:rFonts w:ascii="Arial" w:hAnsi="Arial"/>
          <w:b w:val="0"/>
          <w:i w:val="0"/>
          <w:color w:val="1F2937"/>
          <w:sz w:val="19"/>
          <w:rFonts w:ascii="Arial" w:hAnsi="Arial" w:eastAsia="Microsoft JhengHei" w:cs="Arial"/>
        </w:rPr>
        <w:t>Enterprise IAM, SSO, MFA, conditional access, privileged-access governance, PAM concepts, least privilege, joiner-mover-leaver lifecycle controls, and third-party identity management.</w:t>
      </w:r>
    </w:p>
    <w:p>
      <w:pPr>
        <w:pStyle w:val="ListBullet"/>
        <w:spacing w:before="0" w:after="40" w:line="276" w:lineRule="auto"/>
        <w:ind w:left="317"/>
      </w:pPr>
      <w:r>
        <w:rPr>
          <w:rFonts w:ascii="Arial" w:hAnsi="Arial"/>
          <w:b w:val="0"/>
          <w:i w:val="0"/>
          <w:color w:val="1F2937"/>
          <w:sz w:val="19"/>
          <w:rFonts w:ascii="Arial" w:hAnsi="Arial" w:eastAsia="Microsoft JhengHei" w:cs="Arial"/>
        </w:rPr>
        <w:t>Data classification, DLP, encryption, key management, endpoint protection, secure collaboration, CASB/SSE concepts, and cross-border data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Protection of IP, confidential R&amp;D information, customer and partner data, financial records, commercial information, and internal corporate assets.</w:t>
      </w:r>
    </w:p>
    <w:p>
      <w:pPr>
        <w:keepNext/>
        <w:spacing w:before="160" w:after="40"/>
      </w:pPr>
      <w:r>
        <w:rPr>
          <w:rFonts w:ascii="Arial" w:hAnsi="Arial"/>
          <w:b/>
          <w:i w:val="0"/>
          <w:color w:val="1E3A8A"/>
          <w:sz w:val="21"/>
          <w:rFonts w:ascii="Arial" w:hAnsi="Arial" w:eastAsia="Microsoft JhengHei" w:cs="Arial"/>
        </w:rPr>
        <w:t>Cloud, SaaS &amp; Enterprise Application Security</w:t>
      </w:r>
    </w:p>
    <w:p>
      <w:pPr>
        <w:pStyle w:val="ListBullet"/>
        <w:spacing w:before="0" w:after="40" w:line="276" w:lineRule="auto"/>
        <w:ind w:left="317"/>
      </w:pPr>
      <w:r>
        <w:rPr>
          <w:rFonts w:ascii="Arial" w:hAnsi="Arial"/>
          <w:b w:val="0"/>
          <w:i w:val="0"/>
          <w:color w:val="1F2937"/>
          <w:sz w:val="19"/>
          <w:rFonts w:ascii="Arial" w:hAnsi="Arial" w:eastAsia="Microsoft JhengHei" w:cs="Arial"/>
        </w:rPr>
        <w:t>AWS, Azure, and GCP security governance, landing zones, centralized logging, configuration assurance, CSPM/CNAPP-aligned controls, segmentation, WAF/WAAP, API security, backup, and disaster recovery.</w:t>
      </w:r>
    </w:p>
    <w:p>
      <w:pPr>
        <w:pStyle w:val="ListBullet"/>
        <w:spacing w:before="0" w:after="40" w:line="276" w:lineRule="auto"/>
        <w:ind w:left="317"/>
      </w:pPr>
      <w:r>
        <w:rPr>
          <w:rFonts w:ascii="Arial" w:hAnsi="Arial"/>
          <w:b w:val="0"/>
          <w:i w:val="0"/>
          <w:color w:val="1F2937"/>
          <w:sz w:val="19"/>
          <w:rFonts w:ascii="Arial" w:hAnsi="Arial" w:eastAsia="Microsoft JhengHei" w:cs="Arial"/>
        </w:rPr>
        <w:t>Secure governance of ERP/SAP, CRM, HRIS, finance applications, data platforms, collaboration tools, workflow systems, and business-critical SaaS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Cloud and SaaS vendor due diligence, shared-responsibility assessments, architecture review, contractual security controls, continuous assurance, and exit/continuity planning.</w:t>
      </w:r>
    </w:p>
    <w:p>
      <w:pPr>
        <w:pStyle w:val="ListBullet"/>
        <w:spacing w:before="0" w:after="40" w:line="276" w:lineRule="auto"/>
        <w:ind w:left="317"/>
      </w:pPr>
      <w:r>
        <w:rPr>
          <w:rFonts w:ascii="Arial" w:hAnsi="Arial"/>
          <w:b w:val="0"/>
          <w:i w:val="0"/>
          <w:color w:val="1F2937"/>
          <w:sz w:val="19"/>
          <w:rFonts w:ascii="Arial" w:hAnsi="Arial" w:eastAsia="Microsoft JhengHei" w:cs="Arial"/>
        </w:rPr>
        <w:t>Multi-region and multi-zone architecture design for critical services and cross-region disaster recovery.</w:t>
      </w:r>
    </w:p>
    <w:p>
      <w:pPr>
        <w:keepNext/>
        <w:spacing w:before="160" w:after="40"/>
      </w:pPr>
      <w:r>
        <w:rPr>
          <w:rFonts w:ascii="Arial" w:hAnsi="Arial"/>
          <w:b/>
          <w:i w:val="0"/>
          <w:color w:val="1E3A8A"/>
          <w:sz w:val="21"/>
          <w:rFonts w:ascii="Arial" w:hAnsi="Arial" w:eastAsia="Microsoft JhengHei" w:cs="Arial"/>
        </w:rPr>
        <w:t>Security Operations, Resilience &amp; Incident Response</w:t>
      </w:r>
    </w:p>
    <w:p>
      <w:pPr>
        <w:pStyle w:val="ListBullet"/>
        <w:spacing w:before="0" w:after="40" w:line="276" w:lineRule="auto"/>
        <w:ind w:left="317"/>
      </w:pPr>
      <w:r>
        <w:rPr>
          <w:rFonts w:ascii="Arial" w:hAnsi="Arial"/>
          <w:b w:val="0"/>
          <w:i w:val="0"/>
          <w:color w:val="1F2937"/>
          <w:sz w:val="19"/>
          <w:rFonts w:ascii="Arial" w:hAnsi="Arial" w:eastAsia="Microsoft JhengHei" w:cs="Arial"/>
        </w:rPr>
        <w:t>SOC/MDR operating model, SIEM, EDR/XDR, centralized logging, detection engineering, threat intelligence, vulnerability management, incident response, and executive incident reporting.</w:t>
      </w:r>
    </w:p>
    <w:p>
      <w:pPr>
        <w:pStyle w:val="ListBullet"/>
        <w:spacing w:before="0" w:after="40" w:line="276" w:lineRule="auto"/>
        <w:ind w:left="317"/>
      </w:pPr>
      <w:r>
        <w:rPr>
          <w:rFonts w:ascii="Arial" w:hAnsi="Arial"/>
          <w:b w:val="0"/>
          <w:i w:val="0"/>
          <w:color w:val="1F2937"/>
          <w:sz w:val="19"/>
          <w:rFonts w:ascii="Arial" w:hAnsi="Arial" w:eastAsia="Microsoft JhengHei" w:cs="Arial"/>
        </w:rPr>
        <w:t>Ransomware readiness, immutable backup, disaster recovery, business continuity, crisis communication, tabletop exercises, adversary simulation, and recovery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observability using ELK Stack, Graylog, Prometheus, LibreNMS, Spiceworks, cloud-native monitoring, and application/system telemetry.</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metrics covering MTTR, detection coverage, incident severity, response effectiveness, recovery capability, and control effectiveness.</w:t>
      </w:r>
    </w:p>
    <w:p>
      <w:pPr>
        <w:keepNext/>
        <w:spacing w:before="160" w:after="40"/>
      </w:pPr>
      <w:r>
        <w:rPr>
          <w:rFonts w:ascii="Arial" w:hAnsi="Arial"/>
          <w:b/>
          <w:i w:val="0"/>
          <w:color w:val="1E3A8A"/>
          <w:sz w:val="21"/>
          <w:rFonts w:ascii="Arial" w:hAnsi="Arial" w:eastAsia="Microsoft JhengHei" w:cs="Arial"/>
        </w:rPr>
        <w:t>DevSecOps, Application &amp; Supply-Chain Security</w:t>
      </w:r>
    </w:p>
    <w:p>
      <w:pPr>
        <w:pStyle w:val="ListBullet"/>
        <w:spacing w:before="0" w:after="40" w:line="276" w:lineRule="auto"/>
        <w:ind w:left="317"/>
      </w:pPr>
      <w:r>
        <w:rPr>
          <w:rFonts w:ascii="Arial" w:hAnsi="Arial"/>
          <w:b w:val="0"/>
          <w:i w:val="0"/>
          <w:color w:val="1F2937"/>
          <w:sz w:val="19"/>
          <w:rFonts w:ascii="Arial" w:hAnsi="Arial" w:eastAsia="Microsoft JhengHei" w:cs="Arial"/>
        </w:rPr>
        <w:t>Secure SDLC, threat modeling, SAST, DAST, SCA, secrets management, API security, secure CI/CD, policy-as-code, Terraform/IaC governance, Kubernetes/GKE security, and SBOM.</w:t>
      </w:r>
    </w:p>
    <w:p>
      <w:pPr>
        <w:pStyle w:val="ListBullet"/>
        <w:spacing w:before="0" w:after="40" w:line="276" w:lineRule="auto"/>
        <w:ind w:left="317"/>
      </w:pPr>
      <w:r>
        <w:rPr>
          <w:rFonts w:ascii="Arial" w:hAnsi="Arial"/>
          <w:b w:val="0"/>
          <w:i w:val="0"/>
          <w:color w:val="1F2937"/>
          <w:sz w:val="19"/>
          <w:rFonts w:ascii="Arial" w:hAnsi="Arial" w:eastAsia="Microsoft JhengHei" w:cs="Arial"/>
        </w:rPr>
        <w:t>Software-supply-chain security, open-source component governance, secure code review, vulnerability remediation, and application security requirements.</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governance for internal engineering teams, outsourced development partners, system integrations, APIs, data pipelines, and third-party platforms.</w:t>
      </w:r>
    </w:p>
    <w:p>
      <w:pPr>
        <w:keepNext/>
        <w:spacing w:before="160" w:after="40"/>
      </w:pPr>
      <w:r>
        <w:rPr>
          <w:rFonts w:ascii="Arial" w:hAnsi="Arial"/>
          <w:b/>
          <w:i w:val="0"/>
          <w:color w:val="1E3A8A"/>
          <w:sz w:val="21"/>
          <w:rFonts w:ascii="Arial" w:hAnsi="Arial" w:eastAsia="Microsoft JhengHei" w:cs="Arial"/>
        </w:rPr>
        <w:t>AI Governance &amp; Secure Innovation</w:t>
      </w:r>
    </w:p>
    <w:p>
      <w:pPr>
        <w:pStyle w:val="ListBullet"/>
        <w:spacing w:before="0" w:after="40" w:line="276" w:lineRule="auto"/>
        <w:ind w:left="317"/>
      </w:pPr>
      <w:r>
        <w:rPr>
          <w:rFonts w:ascii="Arial" w:hAnsi="Arial"/>
          <w:b w:val="0"/>
          <w:i w:val="0"/>
          <w:color w:val="1F2937"/>
          <w:sz w:val="19"/>
          <w:rFonts w:ascii="Arial" w:hAnsi="Arial" w:eastAsia="Microsoft JhengHei" w:cs="Arial"/>
        </w:rPr>
        <w:t>ISO/IEC 42001-based AI governance, Responsible AI policies, approved use-case governance, model and vendor risk assessments, data classification, and AI lifecycle management.</w:t>
      </w:r>
    </w:p>
    <w:p>
      <w:pPr>
        <w:pStyle w:val="ListBullet"/>
        <w:spacing w:before="0" w:after="40" w:line="276" w:lineRule="auto"/>
        <w:ind w:left="317"/>
      </w:pPr>
      <w:r>
        <w:rPr>
          <w:rFonts w:ascii="Arial" w:hAnsi="Arial"/>
          <w:b w:val="0"/>
          <w:i w:val="0"/>
          <w:color w:val="1F2937"/>
          <w:sz w:val="19"/>
          <w:rFonts w:ascii="Arial" w:hAnsi="Arial" w:eastAsia="Microsoft JhengHei" w:cs="Arial"/>
        </w:rPr>
        <w:t>GenAI data-leakage prevention, shadow-AI control, secure RAG knowledge-base governance, access control, prompt/data protection, monitoring, auditability, and human oversight.</w:t>
      </w:r>
    </w:p>
    <w:p>
      <w:pPr>
        <w:pStyle w:val="ListBullet"/>
        <w:spacing w:before="0" w:after="40" w:line="276" w:lineRule="auto"/>
        <w:ind w:left="317"/>
      </w:pPr>
      <w:r>
        <w:rPr>
          <w:rFonts w:ascii="Arial" w:hAnsi="Arial"/>
          <w:b w:val="0"/>
          <w:i w:val="0"/>
          <w:color w:val="1F2937"/>
          <w:sz w:val="19"/>
          <w:rFonts w:ascii="Arial" w:hAnsi="Arial" w:eastAsia="Microsoft JhengHei" w:cs="Arial"/>
        </w:rPr>
        <w:t>AI-assisted risk scoring, anomaly detection, threat correlation, and security analytics.</w:t>
      </w:r>
    </w:p>
    <w:p>
      <w:pPr>
        <w:keepNext/>
        <w:spacing w:before="160" w:after="40"/>
      </w:pPr>
      <w:r>
        <w:rPr>
          <w:rFonts w:ascii="Arial" w:hAnsi="Arial"/>
          <w:b/>
          <w:i w:val="0"/>
          <w:color w:val="1E3A8A"/>
          <w:sz w:val="21"/>
          <w:rFonts w:ascii="Arial" w:hAnsi="Arial" w:eastAsia="Microsoft JhengHei" w:cs="Arial"/>
        </w:rPr>
        <w:t>Leadership &amp; Stakeholder Management</w:t>
      </w:r>
    </w:p>
    <w:p>
      <w:pPr>
        <w:pStyle w:val="ListBullet"/>
        <w:spacing w:before="0" w:after="40" w:line="276" w:lineRule="auto"/>
        <w:ind w:left="317"/>
      </w:pPr>
      <w:r>
        <w:rPr>
          <w:rFonts w:ascii="Arial" w:hAnsi="Arial"/>
          <w:b w:val="0"/>
          <w:i w:val="0"/>
          <w:color w:val="1F2937"/>
          <w:sz w:val="19"/>
          <w:rFonts w:ascii="Arial" w:hAnsi="Arial" w:eastAsia="Microsoft JhengHei" w:cs="Arial"/>
        </w:rPr>
        <w:t>Cross-functional and cross-border leadership across Taiwan, China, Asia-Pacific, Europe, and global managed-service partners.</w:t>
      </w:r>
    </w:p>
    <w:p>
      <w:pPr>
        <w:pStyle w:val="ListBullet"/>
        <w:spacing w:before="0" w:after="40" w:line="276" w:lineRule="auto"/>
        <w:ind w:left="317"/>
      </w:pPr>
      <w:r>
        <w:rPr>
          <w:rFonts w:ascii="Arial" w:hAnsi="Arial"/>
          <w:b w:val="0"/>
          <w:i w:val="0"/>
          <w:color w:val="1F2937"/>
          <w:sz w:val="19"/>
          <w:rFonts w:ascii="Arial" w:hAnsi="Arial" w:eastAsia="Microsoft JhengHei" w:cs="Arial"/>
        </w:rPr>
        <w:t>Leadership of cybersecurity, IT operations, cloud operations, infrastructure, SRE, DevOps, applications, service desk, and external service-provider teams.</w:t>
      </w:r>
    </w:p>
    <w:p>
      <w:pPr>
        <w:pStyle w:val="ListBullet"/>
        <w:spacing w:before="0" w:after="40" w:line="276" w:lineRule="auto"/>
        <w:ind w:left="317"/>
      </w:pPr>
      <w:r>
        <w:rPr>
          <w:rFonts w:ascii="Arial" w:hAnsi="Arial"/>
          <w:b w:val="0"/>
          <w:i w:val="0"/>
          <w:color w:val="1F2937"/>
          <w:sz w:val="19"/>
          <w:rFonts w:ascii="Arial" w:hAnsi="Arial" w:eastAsia="Microsoft JhengHei" w:cs="Arial"/>
        </w:rPr>
        <w:t>Multi-million-dollar annual IT and cybersecurity budget responsibility.</w:t>
      </w:r>
    </w:p>
    <w:p>
      <w:pPr>
        <w:pStyle w:val="ListBullet"/>
        <w:spacing w:before="0" w:after="40" w:line="276" w:lineRule="auto"/>
        <w:ind w:left="317"/>
      </w:pPr>
      <w:r>
        <w:rPr>
          <w:rFonts w:ascii="Arial" w:hAnsi="Arial"/>
          <w:b w:val="0"/>
          <w:i w:val="0"/>
          <w:color w:val="1F2937"/>
          <w:sz w:val="19"/>
          <w:rFonts w:ascii="Arial" w:hAnsi="Arial" w:eastAsia="Microsoft JhengHei" w:cs="Arial"/>
        </w:rPr>
        <w:t>Chinese and English executive communication; board reporting; audit facilitation; customer due diligence; vendor governance; and incident crisis leadership.</w:t>
      </w:r>
    </w:p>
    <w:p>
      <w:pPr>
        <w:keepNext/>
        <w:spacing w:before="280" w:after="80"/>
        <w:pBdr>
          <w:bottom w:val="single" w:sz="12" w:space="3" w:color="1E3A8A"/>
        </w:pBdr>
      </w:pPr>
      <w:r>
        <w:rPr>
          <w:rFonts w:ascii="Arial" w:hAnsi="Arial"/>
          <w:b/>
          <w:i w:val="0"/>
          <w:color w:val="0F2942"/>
          <w:sz w:val="26"/>
          <w:rFonts w:ascii="Arial" w:hAnsi="Arial" w:eastAsia="Microsoft JhengHei" w:cs="Arial"/>
        </w:rPr>
        <w:t>Professional Experience</w:t>
      </w:r>
    </w:p>
    <w:p>
      <w:pPr>
        <w:keepNext/>
        <w:spacing w:before="200" w:after="20"/>
      </w:pPr>
      <w:r>
        <w:rPr>
          <w:rFonts w:ascii="Arial" w:hAnsi="Arial"/>
          <w:b/>
          <w:i w:val="0"/>
          <w:color w:val="0F2942"/>
          <w:sz w:val="23"/>
          <w:rFonts w:ascii="Arial" w:hAnsi="Arial" w:eastAsia="Microsoft JhengHei" w:cs="Arial"/>
        </w:rPr>
        <w:t>Vice President / Group Cybersecurity &amp; Digital Transformation Lead</w:t>
      </w:r>
    </w:p>
    <w:p>
      <w:pPr>
        <w:keepNext/>
        <w:spacing w:before="0" w:after="20"/>
      </w:pPr>
      <w:r>
        <w:rPr>
          <w:rFonts w:ascii="Arial" w:hAnsi="Arial"/>
          <w:b w:val="0"/>
          <w:i w:val="0"/>
          <w:color w:val="334155"/>
          <w:sz w:val="19"/>
          <w:rFonts w:ascii="Arial" w:hAnsi="Arial" w:eastAsia="Microsoft JhengHei" w:cs="Arial"/>
        </w:rPr>
        <w:t>(Kaohsiung, Shanghai, Taipei / Shengxin, Shengji Network / China Poker City / Taipei Finger International Co., Ltd.) Listed Affiliate Group</w:t>
      </w:r>
    </w:p>
    <w:p>
      <w:pPr>
        <w:keepNext/>
        <w:spacing w:before="0" w:after="40"/>
      </w:pPr>
      <w:r>
        <w:rPr>
          <w:rFonts w:ascii="Arial" w:hAnsi="Arial"/>
          <w:b/>
          <w:i w:val="0"/>
          <w:color w:val="1E3A8A"/>
          <w:sz w:val="19"/>
          <w:rFonts w:ascii="Arial" w:hAnsi="Arial" w:eastAsia="Microsoft JhengHei" w:cs="Arial"/>
        </w:rPr>
        <w:t>Confidential Group | Taiwan | Multi-site Operations</w:t>
        <w:br/>
        <w:t>May 2025 – Present</w:t>
      </w:r>
    </w:p>
    <w:p>
      <w:pPr>
        <w:keepNext/>
        <w:spacing w:before="40" w:after="60"/>
      </w:pPr>
      <w:r>
        <w:rPr>
          <w:rFonts w:ascii="Arial" w:hAnsi="Arial"/>
          <w:b w:val="0"/>
          <w:i/>
          <w:color w:val="1F2937"/>
          <w:sz w:val="19"/>
          <w:rFonts w:ascii="Arial" w:hAnsi="Arial" w:eastAsia="Microsoft JhengHei" w:cs="Arial"/>
        </w:rPr>
        <w:t>Acting in a CISO-level capacity, leading group cybersecurity strategy, cloud and infrastructure governance, enterprise resilience, and AI governance across multiple business units.</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Group-wide IT and cybersecurity governance across multiple business units and operating sites.</w:t>
      </w:r>
    </w:p>
    <w:p>
      <w:pPr>
        <w:pStyle w:val="ListBullet"/>
        <w:spacing w:before="0" w:after="30" w:line="276" w:lineRule="auto"/>
        <w:ind w:left="317"/>
      </w:pPr>
      <w:r>
        <w:rPr>
          <w:rFonts w:ascii="Arial" w:hAnsi="Arial"/>
          <w:b w:val="0"/>
          <w:i w:val="0"/>
          <w:color w:val="1F2937"/>
          <w:sz w:val="19"/>
          <w:rFonts w:ascii="Arial" w:hAnsi="Arial" w:eastAsia="Microsoft JhengHei" w:cs="Arial"/>
        </w:rPr>
        <w:t>Leadership of approximately 35–40 professionals across cybersecurity, infrastructure, applications, operations, and external service partners.</w:t>
      </w:r>
    </w:p>
    <w:p>
      <w:pPr>
        <w:pStyle w:val="ListBullet"/>
        <w:spacing w:before="0" w:after="30" w:line="276" w:lineRule="auto"/>
        <w:ind w:left="317"/>
      </w:pPr>
      <w:r>
        <w:rPr>
          <w:rFonts w:ascii="Arial" w:hAnsi="Arial"/>
          <w:b w:val="0"/>
          <w:i w:val="0"/>
          <w:color w:val="1F2937"/>
          <w:sz w:val="19"/>
          <w:rFonts w:ascii="Arial" w:hAnsi="Arial" w:eastAsia="Microsoft JhengHei" w:cs="Arial"/>
        </w:rPr>
        <w:t>Annual IT and cybersecurity budget responsibility of approximately USD 10–12 million.</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group-wide cybersecurity governance based on ISO 27001 and NIST CSF, elevating risk, investment prioritization, resilience metrics, and accountability to board-level oversight.</w:t>
      </w:r>
    </w:p>
    <w:p>
      <w:pPr>
        <w:pStyle w:val="ListBullet"/>
        <w:spacing w:before="0" w:after="40" w:line="276" w:lineRule="auto"/>
        <w:ind w:left="317"/>
      </w:pPr>
      <w:r>
        <w:rPr>
          <w:rFonts w:ascii="Arial" w:hAnsi="Arial"/>
          <w:b w:val="0"/>
          <w:i w:val="0"/>
          <w:color w:val="1F2937"/>
          <w:sz w:val="19"/>
          <w:rFonts w:ascii="Arial" w:hAnsi="Arial" w:eastAsia="Microsoft JhengHei" w:cs="Arial"/>
        </w:rPr>
        <w:t>Built an enterprise cybersecurity risk-management system covering asset criticality, threats, vulnerabilities, control maturity, third-party exposure, and quantified risk matrices.</w:t>
      </w:r>
    </w:p>
    <w:p>
      <w:pPr>
        <w:pStyle w:val="ListBullet"/>
        <w:spacing w:before="0" w:after="40" w:line="276" w:lineRule="auto"/>
        <w:ind w:left="317"/>
      </w:pPr>
      <w:r>
        <w:rPr>
          <w:rFonts w:ascii="Arial" w:hAnsi="Arial"/>
          <w:b w:val="0"/>
          <w:i w:val="0"/>
          <w:color w:val="1F2937"/>
          <w:sz w:val="19"/>
          <w:rFonts w:ascii="Arial" w:hAnsi="Arial" w:eastAsia="Microsoft JhengHei" w:cs="Arial"/>
        </w:rPr>
        <w:t>Developed multi-year cybersecurity roadmaps linked to annual budgets, OGSM objectives, business priorities, and measurable risk-reduction outcomes.</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Zero Trust-aligned identity, endpoint, network, cloud, and access-control architecture for critical enterprise applications, data platforms, and partner collaboration.</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centralized SOC/SIEM, EDR, log aggregation, security monitoring, and incident-response procedures, reducing major security incidents by approximately 30% and improving detection and response performance.</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multi-cloud security observability and configuration-assurance dashboards, improving executive visibility, audit evidence, customer due-diligence response, and remediation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Introduced ISO/IEC 42001-based AI governance, including AI-use policies, risk assessment, data-protection requirements, model lifecycle controls, and third-party AI-service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Secured executive sponsorship and investment for Zero Trust, SOC/SIEM, disaster recovery, and cloud-security initiatives through ROI/TCO, RTO/RPO, SLA, risk-reduction, and audit-readiness analysis.</w:t>
      </w:r>
    </w:p>
    <w:p>
      <w:pPr>
        <w:pStyle w:val="ListBullet"/>
        <w:spacing w:before="0" w:after="40" w:line="276" w:lineRule="auto"/>
        <w:ind w:left="317"/>
      </w:pPr>
      <w:r>
        <w:rPr>
          <w:rFonts w:ascii="Arial" w:hAnsi="Arial"/>
          <w:b w:val="0"/>
          <w:i w:val="0"/>
          <w:color w:val="1F2937"/>
          <w:sz w:val="19"/>
          <w:rFonts w:ascii="Arial" w:hAnsi="Arial" w:eastAsia="Microsoft JhengHei" w:cs="Arial"/>
        </w:rPr>
        <w:t>Coordinated security and digital-transformation initiatives among IT, finance, legal, HR, engineering, business operations, and external service partners.</w:t>
      </w:r>
    </w:p>
    <w:p>
      <w:pPr>
        <w:keepNext/>
        <w:spacing w:before="60" w:after="20"/>
      </w:pPr>
      <w:r>
        <w:rPr>
          <w:rFonts w:ascii="Arial" w:hAnsi="Arial"/>
          <w:b/>
          <w:i w:val="0"/>
          <w:color w:val="334155"/>
          <w:sz w:val="19"/>
          <w:rFonts w:ascii="Arial" w:hAnsi="Arial" w:eastAsia="Microsoft JhengHei" w:cs="Arial"/>
        </w:rPr>
        <w:t>Reason for Leaving</w:t>
      </w:r>
    </w:p>
    <w:p>
      <w:pPr>
        <w:spacing w:before="0" w:after="80"/>
      </w:pPr>
      <w:r>
        <w:rPr>
          <w:rFonts w:ascii="Arial" w:hAnsi="Arial"/>
          <w:b w:val="0"/>
          <w:i/>
          <w:color w:val="64748B"/>
          <w:sz w:val="18"/>
          <w:rFonts w:ascii="Arial" w:hAnsi="Arial" w:eastAsia="Microsoft JhengHei" w:cs="Arial"/>
        </w:rPr>
        <w:t>Seeking a northern Taiwan-based executive opportunity aligned with long-term family, career, and group-level cybersecurity leadership objectives.</w:t>
      </w:r>
    </w:p>
    <w:p>
      <w:pPr>
        <w:keepNext/>
        <w:spacing w:before="200" w:after="20"/>
      </w:pPr>
      <w:r>
        <w:rPr>
          <w:rFonts w:ascii="Arial" w:hAnsi="Arial"/>
          <w:b/>
          <w:i w:val="0"/>
          <w:color w:val="0F2942"/>
          <w:sz w:val="23"/>
          <w:rFonts w:ascii="Arial" w:hAnsi="Arial" w:eastAsia="Microsoft JhengHei" w:cs="Arial"/>
        </w:rPr>
        <w:t>IT Director</w:t>
      </w:r>
    </w:p>
    <w:p>
      <w:pPr>
        <w:keepNext/>
        <w:spacing w:before="0" w:after="20"/>
      </w:pPr>
      <w:r>
        <w:rPr>
          <w:rFonts w:ascii="Arial" w:hAnsi="Arial"/>
          <w:b w:val="0"/>
          <w:i w:val="0"/>
          <w:color w:val="334155"/>
          <w:sz w:val="19"/>
          <w:rFonts w:ascii="Arial" w:hAnsi="Arial" w:eastAsia="Microsoft JhengHei" w:cs="Arial"/>
        </w:rPr>
        <w:t>Longzhong Network Co., Ltd. / GameSparcs (Headquartered in Taichung with offices in Taipei, Los Angeles, Sydney, Malta, Hangzhou, Chengdu / XSGames, Longzhong, Wanguo, Haiyu, VIVIDGAMING, Galaxy, Haotian, Jingqi) Publicly Listed Company</w:t>
      </w:r>
    </w:p>
    <w:p>
      <w:pPr>
        <w:keepNext/>
        <w:spacing w:before="0" w:after="40"/>
      </w:pPr>
      <w:r>
        <w:rPr>
          <w:rFonts w:ascii="Arial" w:hAnsi="Arial"/>
          <w:b/>
          <w:i w:val="0"/>
          <w:color w:val="1E3A8A"/>
          <w:sz w:val="19"/>
          <w:rFonts w:ascii="Arial" w:hAnsi="Arial" w:eastAsia="Microsoft JhengHei" w:cs="Arial"/>
        </w:rPr>
        <w:t>Publicly Listed Global Gaming Platform Operator | Taichung, Taiwan</w:t>
        <w:br/>
        <w:t>September 2022 – April 2025</w:t>
      </w:r>
    </w:p>
    <w:p>
      <w:pPr>
        <w:keepNext/>
        <w:spacing w:before="40" w:after="60"/>
      </w:pPr>
      <w:r>
        <w:rPr>
          <w:rFonts w:ascii="Arial" w:hAnsi="Arial"/>
          <w:b w:val="0"/>
          <w:i/>
          <w:color w:val="1F2937"/>
          <w:sz w:val="19"/>
          <w:rFonts w:ascii="Arial" w:hAnsi="Arial" w:eastAsia="Microsoft JhengHei" w:cs="Arial"/>
        </w:rPr>
        <w:t>Led global cloud architecture, cybersecurity governance, digital-platform resilience, DevOps productivity, and high-availability operations for a publicly listed online platform serving millions of users.</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Led approximately 30–35 professionals across cloud operations, DevOps, SRE, cybersecurity, infrastructure, and application-support functions.</w:t>
      </w:r>
    </w:p>
    <w:p>
      <w:pPr>
        <w:pStyle w:val="ListBullet"/>
        <w:spacing w:before="0" w:after="30" w:line="276" w:lineRule="auto"/>
        <w:ind w:left="317"/>
      </w:pPr>
      <w:r>
        <w:rPr>
          <w:rFonts w:ascii="Arial" w:hAnsi="Arial"/>
          <w:b w:val="0"/>
          <w:i w:val="0"/>
          <w:color w:val="1F2937"/>
          <w:sz w:val="19"/>
          <w:rFonts w:ascii="Arial" w:hAnsi="Arial" w:eastAsia="Microsoft JhengHei" w:cs="Arial"/>
        </w:rPr>
        <w:t>Accountable for multi-cloud infrastructure and cybersecurity budgets of approximately USD 12–14 million annually.</w:t>
      </w:r>
    </w:p>
    <w:p>
      <w:pPr>
        <w:pStyle w:val="ListBullet"/>
        <w:spacing w:before="0" w:after="30" w:line="276" w:lineRule="auto"/>
        <w:ind w:left="317"/>
      </w:pPr>
      <w:r>
        <w:rPr>
          <w:rFonts w:ascii="Arial" w:hAnsi="Arial"/>
          <w:b w:val="0"/>
          <w:i w:val="0"/>
          <w:color w:val="1F2937"/>
          <w:sz w:val="19"/>
          <w:rFonts w:ascii="Arial" w:hAnsi="Arial" w:eastAsia="Microsoft JhengHei" w:cs="Arial"/>
        </w:rPr>
        <w:t>Supported high-traffic, customer-facing digital platforms requiring 24/7 availability, large-scale transaction processing, and resilient cross-region operations.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and delivered a GKE-centered, multi-zone, multi-region architecture with cross-region disaster recovery, enabling 24/7 service availability and a zero-downtime record for critical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Built centralized observability, APM, SIEM, cloud logging, monitoring, and incident-response processes, reducing MTTR by approximately 30% through real-time event correlation and improved operational visibility.</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ISO 27001- and NIST CSF-aligned cybersecurity policies and controls for IAM, asset management, secure development, cloud operations, incident response, vendor governance, and audit evidence.</w:t>
      </w:r>
    </w:p>
    <w:p>
      <w:pPr>
        <w:pStyle w:val="ListBullet"/>
        <w:spacing w:before="0" w:after="40" w:line="276" w:lineRule="auto"/>
        <w:ind w:left="317"/>
      </w:pPr>
      <w:r>
        <w:rPr>
          <w:rFonts w:ascii="Arial" w:hAnsi="Arial"/>
          <w:b w:val="0"/>
          <w:i w:val="0"/>
          <w:color w:val="1F2937"/>
          <w:sz w:val="19"/>
          <w:rFonts w:ascii="Arial" w:hAnsi="Arial" w:eastAsia="Microsoft JhengHei" w:cs="Arial"/>
        </w:rPr>
        <w:t>Introduced Zero Trust principles through IAM, SSO, MFA, least privilege, and controlled remote access, strengthening protection for distributed teams, privileged users, and external partners.</w:t>
      </w:r>
    </w:p>
    <w:p>
      <w:pPr>
        <w:pStyle w:val="ListBullet"/>
        <w:spacing w:before="0" w:after="40" w:line="276" w:lineRule="auto"/>
        <w:ind w:left="317"/>
      </w:pPr>
      <w:r>
        <w:rPr>
          <w:rFonts w:ascii="Arial" w:hAnsi="Arial"/>
          <w:b w:val="0"/>
          <w:i w:val="0"/>
          <w:color w:val="1F2937"/>
          <w:sz w:val="19"/>
          <w:rFonts w:ascii="Arial" w:hAnsi="Arial" w:eastAsia="Microsoft JhengHei" w:cs="Arial"/>
        </w:rPr>
        <w:t>Strengthened the external attack surface through API security, WAF/WAAP, DDoS protection, anti-bot controls, rate limiting, API authorization, and network-security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incident-response playbooks, security exercises, adversary simulations, crisis communication procedures, and recovery governance, improving organizational readiness and reducing breach impact.</w:t>
      </w:r>
    </w:p>
    <w:p>
      <w:pPr>
        <w:pStyle w:val="ListBullet"/>
        <w:spacing w:before="0" w:after="40" w:line="276" w:lineRule="auto"/>
        <w:ind w:left="317"/>
      </w:pPr>
      <w:r>
        <w:rPr>
          <w:rFonts w:ascii="Arial" w:hAnsi="Arial"/>
          <w:b w:val="0"/>
          <w:i w:val="0"/>
          <w:color w:val="1F2937"/>
          <w:sz w:val="19"/>
          <w:rFonts w:ascii="Arial" w:hAnsi="Arial" w:eastAsia="Microsoft JhengHei" w:cs="Arial"/>
        </w:rPr>
        <w:t>Embedded SAST, DAST, secrets management, CI/CD controls, IaC governance, container-security practices, and software-supply-chain controls into engineering and deployment workflows.</w:t>
      </w:r>
    </w:p>
    <w:p>
      <w:pPr>
        <w:pStyle w:val="ListBullet"/>
        <w:spacing w:before="0" w:after="40" w:line="276" w:lineRule="auto"/>
        <w:ind w:left="317"/>
      </w:pPr>
      <w:r>
        <w:rPr>
          <w:rFonts w:ascii="Arial" w:hAnsi="Arial"/>
          <w:b w:val="0"/>
          <w:i w:val="0"/>
          <w:color w:val="1F2937"/>
          <w:sz w:val="19"/>
          <w:rFonts w:ascii="Arial" w:hAnsi="Arial" w:eastAsia="Microsoft JhengHei" w:cs="Arial"/>
        </w:rPr>
        <w:t>Built FinOps practices across multi-cloud environments, achieving approximately 30% cloud-cost optimization while maintaining performance, resilience, and customer experience during traffic spikes.</w:t>
      </w:r>
    </w:p>
    <w:p>
      <w:pPr>
        <w:pStyle w:val="ListBullet"/>
        <w:spacing w:before="0" w:after="40" w:line="276" w:lineRule="auto"/>
        <w:ind w:left="317"/>
      </w:pPr>
      <w:r>
        <w:rPr>
          <w:rFonts w:ascii="Arial" w:hAnsi="Arial"/>
          <w:b w:val="0"/>
          <w:i w:val="0"/>
          <w:color w:val="1F2937"/>
          <w:sz w:val="19"/>
          <w:rFonts w:ascii="Arial" w:hAnsi="Arial" w:eastAsia="Microsoft JhengHei" w:cs="Arial"/>
        </w:rPr>
        <w:t>Received a Cloud Architecture Excellence Award for a GKE-based multi-cloud platform combining high availability, operational resilience, and cost optimization.</w:t>
      </w:r>
    </w:p>
    <w:p>
      <w:pPr>
        <w:keepNext/>
        <w:spacing w:before="60" w:after="20"/>
      </w:pPr>
      <w:r>
        <w:rPr>
          <w:rFonts w:ascii="Arial" w:hAnsi="Arial"/>
          <w:b/>
          <w:i w:val="0"/>
          <w:color w:val="334155"/>
          <w:sz w:val="19"/>
          <w:rFonts w:ascii="Arial" w:hAnsi="Arial" w:eastAsia="Microsoft JhengHei" w:cs="Arial"/>
        </w:rPr>
        <w:t>Reason for Leaving</w:t>
      </w:r>
    </w:p>
    <w:p>
      <w:pPr>
        <w:spacing w:before="0" w:after="80"/>
      </w:pPr>
      <w:r>
        <w:rPr>
          <w:rFonts w:ascii="Arial" w:hAnsi="Arial"/>
          <w:b w:val="0"/>
          <w:i/>
          <w:color w:val="64748B"/>
          <w:sz w:val="18"/>
          <w:rFonts w:ascii="Arial" w:hAnsi="Arial" w:eastAsia="Microsoft JhengHei" w:cs="Arial"/>
        </w:rPr>
        <w:t>Seeking a senior cybersecurity leadership role with broader group-level governance responsibility and improved alignment with long-term career and lifestyle objectives.</w:t>
      </w:r>
    </w:p>
    <w:p>
      <w:pPr>
        <w:keepNext/>
        <w:spacing w:before="200" w:after="20"/>
      </w:pPr>
      <w:r>
        <w:rPr>
          <w:rFonts w:ascii="Arial" w:hAnsi="Arial"/>
          <w:b/>
          <w:i w:val="0"/>
          <w:color w:val="0F2942"/>
          <w:sz w:val="23"/>
          <w:rFonts w:ascii="Arial" w:hAnsi="Arial" w:eastAsia="Microsoft JhengHei" w:cs="Arial"/>
        </w:rPr>
        <w:t>IT Director</w:t>
      </w:r>
    </w:p>
    <w:p>
      <w:pPr>
        <w:keepNext/>
        <w:spacing w:before="0" w:after="20"/>
      </w:pPr>
      <w:r>
        <w:rPr>
          <w:rFonts w:ascii="Arial" w:hAnsi="Arial"/>
          <w:b w:val="0"/>
          <w:i w:val="0"/>
          <w:color w:val="334155"/>
          <w:sz w:val="19"/>
          <w:rFonts w:ascii="Arial" w:hAnsi="Arial" w:eastAsia="Microsoft JhengHei" w:cs="Arial"/>
        </w:rPr>
        <w:t>Hongen Technology (Headquartered in Shenzhen with offices in Hsinchu, Hangzhou, Chengdu / 泓晏科技)</w:t>
      </w:r>
    </w:p>
    <w:p>
      <w:pPr>
        <w:keepNext/>
        <w:spacing w:before="0" w:after="40"/>
      </w:pPr>
      <w:r>
        <w:rPr>
          <w:rFonts w:ascii="Arial" w:hAnsi="Arial"/>
          <w:b/>
          <w:i w:val="0"/>
          <w:color w:val="1E3A8A"/>
          <w:sz w:val="19"/>
          <w:rFonts w:ascii="Arial" w:hAnsi="Arial" w:eastAsia="Microsoft JhengHei" w:cs="Arial"/>
        </w:rPr>
        <w:t>Electronics Manufacturing &amp; Technology Services | Taiwan and China</w:t>
        <w:br/>
        <w:t>March 2018 – August 2022</w:t>
      </w:r>
    </w:p>
    <w:p>
      <w:pPr>
        <w:keepNext/>
        <w:spacing w:before="40" w:after="60"/>
      </w:pPr>
      <w:r>
        <w:rPr>
          <w:rFonts w:ascii="Arial" w:hAnsi="Arial"/>
          <w:b w:val="0"/>
          <w:i/>
          <w:color w:val="1F2937"/>
          <w:sz w:val="19"/>
          <w:rFonts w:ascii="Arial" w:hAnsi="Arial" w:eastAsia="Microsoft JhengHei" w:cs="Arial"/>
        </w:rPr>
        <w:t>Led enterprise IT, cybersecurity, data governance, digital transformation, and multi-site technology operations across Taiwan and China.</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approximately 30–40 professionals across IT, cybersecurity, applications, infrastructure, operations, and technology services.</w:t>
      </w:r>
    </w:p>
    <w:p>
      <w:pPr>
        <w:pStyle w:val="ListBullet"/>
        <w:spacing w:before="0" w:after="30" w:line="276" w:lineRule="auto"/>
        <w:ind w:left="317"/>
      </w:pPr>
      <w:r>
        <w:rPr>
          <w:rFonts w:ascii="Arial" w:hAnsi="Arial"/>
          <w:b w:val="0"/>
          <w:i w:val="0"/>
          <w:color w:val="1F2937"/>
          <w:sz w:val="19"/>
          <w:rFonts w:ascii="Arial" w:hAnsi="Arial" w:eastAsia="Microsoft JhengHei" w:cs="Arial"/>
        </w:rPr>
        <w:t>Held annual IT and cybersecurity budget responsibility of approximately USD 5–7 million.</w:t>
      </w:r>
    </w:p>
    <w:p>
      <w:pPr>
        <w:pStyle w:val="ListBullet"/>
        <w:spacing w:before="0" w:after="30" w:line="276" w:lineRule="auto"/>
        <w:ind w:left="317"/>
      </w:pPr>
      <w:r>
        <w:rPr>
          <w:rFonts w:ascii="Arial" w:hAnsi="Arial"/>
          <w:b w:val="0"/>
          <w:i w:val="0"/>
          <w:color w:val="1F2937"/>
          <w:sz w:val="19"/>
          <w:rFonts w:ascii="Arial" w:hAnsi="Arial" w:eastAsia="Microsoft JhengHei" w:cs="Arial"/>
        </w:rPr>
        <w:t>Supported multi-site business operations, R&amp;D, supply-chain, engineering, finance, procurement, and external-partner environments.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ISO 27001-aligned cybersecurity governance, risk assessment, asset management, identity and access controls, segmentation, vulnerability management, and auditability for enterprise and operational environments.</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secure architecture for ERP, PLM, supply-chain, workflow, analytics, and enterprise systems, improving availability, traceability, data protection, and continuity.</w:t>
      </w:r>
    </w:p>
    <w:p>
      <w:pPr>
        <w:pStyle w:val="ListBullet"/>
        <w:spacing w:before="0" w:after="40" w:line="276" w:lineRule="auto"/>
        <w:ind w:left="317"/>
      </w:pPr>
      <w:r>
        <w:rPr>
          <w:rFonts w:ascii="Arial" w:hAnsi="Arial"/>
          <w:b w:val="0"/>
          <w:i w:val="0"/>
          <w:color w:val="1F2937"/>
          <w:sz w:val="19"/>
          <w:rFonts w:ascii="Arial" w:hAnsi="Arial" w:eastAsia="Microsoft JhengHei" w:cs="Arial"/>
        </w:rPr>
        <w:t>Led secure integration of ERP, MES, PLM, APS, HR, and analytics platforms, enabling controlled information flow, authentication, encryption, audit logging, and management visibility across business functions.</w:t>
      </w:r>
    </w:p>
    <w:p>
      <w:pPr>
        <w:pStyle w:val="ListBullet"/>
        <w:spacing w:before="0" w:after="40" w:line="276" w:lineRule="auto"/>
        <w:ind w:left="317"/>
      </w:pPr>
      <w:r>
        <w:rPr>
          <w:rFonts w:ascii="Arial" w:hAnsi="Arial"/>
          <w:b w:val="0"/>
          <w:i w:val="0"/>
          <w:color w:val="1F2937"/>
          <w:sz w:val="19"/>
          <w:rFonts w:ascii="Arial" w:hAnsi="Arial" w:eastAsia="Microsoft JhengHei" w:cs="Arial"/>
        </w:rPr>
        <w:t>Built data-governance and BI capabilities supporting inventory management, anomaly analysis, operational decision-making, and post-merger data integration.</w:t>
      </w:r>
    </w:p>
    <w:p>
      <w:pPr>
        <w:pStyle w:val="ListBullet"/>
        <w:spacing w:before="0" w:after="40" w:line="276" w:lineRule="auto"/>
        <w:ind w:left="317"/>
      </w:pPr>
      <w:r>
        <w:rPr>
          <w:rFonts w:ascii="Arial" w:hAnsi="Arial"/>
          <w:b w:val="0"/>
          <w:i w:val="0"/>
          <w:color w:val="1F2937"/>
          <w:sz w:val="19"/>
          <w:rFonts w:ascii="Arial" w:hAnsi="Arial" w:eastAsia="Microsoft JhengHei" w:cs="Arial"/>
        </w:rPr>
        <w:t>Developed risk-based vulnerability, patch-management, incident-response, backup, and continuity processes that balanced cybersecurity improvement with operational requirements.</w:t>
      </w:r>
    </w:p>
    <w:p>
      <w:pPr>
        <w:pStyle w:val="ListBullet"/>
        <w:spacing w:before="0" w:after="40" w:line="276" w:lineRule="auto"/>
        <w:ind w:left="317"/>
      </w:pPr>
      <w:r>
        <w:rPr>
          <w:rFonts w:ascii="Arial" w:hAnsi="Arial"/>
          <w:b w:val="0"/>
          <w:i w:val="0"/>
          <w:color w:val="1F2937"/>
          <w:sz w:val="19"/>
          <w:rFonts w:ascii="Arial" w:hAnsi="Arial" w:eastAsia="Microsoft JhengHei" w:cs="Arial"/>
        </w:rPr>
        <w:t>Coordinated cybersecurity and resilience initiatives across IT, engineering, operations, procurement, finance, and external service partners in Taiwan and China.</w:t>
      </w:r>
    </w:p>
    <w:p>
      <w:pPr>
        <w:pStyle w:val="ListBullet"/>
        <w:spacing w:before="0" w:after="40" w:line="276" w:lineRule="auto"/>
        <w:ind w:left="317"/>
      </w:pPr>
      <w:r>
        <w:rPr>
          <w:rFonts w:ascii="Arial" w:hAnsi="Arial"/>
          <w:b w:val="0"/>
          <w:i w:val="0"/>
          <w:color w:val="1F2937"/>
          <w:sz w:val="19"/>
          <w:rFonts w:ascii="Arial" w:hAnsi="Arial" w:eastAsia="Microsoft JhengHei" w:cs="Arial"/>
        </w:rPr>
        <w:t>Supported organizational integration and data-asset due diligence during acquisition by a major Chinese manufacturing group.</w:t>
      </w:r>
    </w:p>
    <w:p>
      <w:pPr>
        <w:keepNext/>
        <w:spacing w:before="60" w:after="20"/>
      </w:pPr>
      <w:r>
        <w:rPr>
          <w:rFonts w:ascii="Arial" w:hAnsi="Arial"/>
          <w:b/>
          <w:i w:val="0"/>
          <w:color w:val="334155"/>
          <w:sz w:val="19"/>
          <w:rFonts w:ascii="Arial" w:hAnsi="Arial" w:eastAsia="Microsoft JhengHei" w:cs="Arial"/>
        </w:rPr>
        <w:t>Additional Context</w:t>
      </w:r>
    </w:p>
    <w:p>
      <w:pPr>
        <w:spacing w:before="0" w:after="60" w:line="276" w:lineRule="auto"/>
      </w:pPr>
      <w:r>
        <w:rPr>
          <w:rFonts w:ascii="Arial" w:hAnsi="Arial"/>
          <w:b w:val="0"/>
          <w:i w:val="0"/>
          <w:color w:val="1F2937"/>
          <w:sz w:val="19"/>
          <w:rFonts w:ascii="Arial" w:hAnsi="Arial" w:eastAsia="Microsoft JhengHei" w:cs="Arial"/>
        </w:rPr>
        <w:t>Prior IT/OT convergence experience provides practical capability for complex infrastructure, supply-chain, partner, and operational integration needs.</w:t>
      </w:r>
    </w:p>
    <w:p>
      <w:pPr>
        <w:keepNext/>
        <w:spacing w:before="60" w:after="20"/>
      </w:pPr>
      <w:r>
        <w:rPr>
          <w:rFonts w:ascii="Arial" w:hAnsi="Arial"/>
          <w:b/>
          <w:i w:val="0"/>
          <w:color w:val="334155"/>
          <w:sz w:val="19"/>
          <w:rFonts w:ascii="Arial" w:hAnsi="Arial" w:eastAsia="Microsoft JhengHei" w:cs="Arial"/>
        </w:rPr>
        <w:t>Reason for Leaving</w:t>
      </w:r>
    </w:p>
    <w:p>
      <w:pPr>
        <w:spacing w:before="0" w:after="80"/>
      </w:pPr>
      <w:r>
        <w:rPr>
          <w:rFonts w:ascii="Arial" w:hAnsi="Arial"/>
          <w:b w:val="0"/>
          <w:i/>
          <w:color w:val="64748B"/>
          <w:sz w:val="18"/>
          <w:rFonts w:ascii="Arial" w:hAnsi="Arial" w:eastAsia="Microsoft JhengHei" w:cs="Arial"/>
        </w:rPr>
        <w:t>Following acquisition by a major Chinese conglomerate, pursued opportunities aligned with broader technology and cybersecurity leadership goals.</w:t>
      </w:r>
    </w:p>
    <w:p>
      <w:pPr>
        <w:keepNext/>
        <w:spacing w:before="200" w:after="20"/>
      </w:pPr>
      <w:r>
        <w:rPr>
          <w:rFonts w:ascii="Arial" w:hAnsi="Arial"/>
          <w:b/>
          <w:i w:val="0"/>
          <w:color w:val="0F2942"/>
          <w:sz w:val="23"/>
          <w:rFonts w:ascii="Arial" w:hAnsi="Arial" w:eastAsia="Microsoft JhengHei" w:cs="Arial"/>
        </w:rPr>
        <w:t>IT Manager</w:t>
      </w:r>
    </w:p>
    <w:p>
      <w:pPr>
        <w:keepNext/>
        <w:spacing w:before="0" w:after="20"/>
      </w:pPr>
      <w:r>
        <w:rPr>
          <w:rFonts w:ascii="Arial" w:hAnsi="Arial"/>
          <w:b w:val="0"/>
          <w:i w:val="0"/>
          <w:color w:val="334155"/>
          <w:sz w:val="19"/>
          <w:rFonts w:ascii="Arial" w:hAnsi="Arial" w:eastAsia="Microsoft JhengHei" w:cs="Arial"/>
        </w:rPr>
        <w:t>HyWeb Technology Co., Ltd. (Headquartered in Hsinchu with offices in Taipei, Taichung, Kaohsiung, Thailand, Beijing / 凌網科技、凌網知識) Publicly Listed Company</w:t>
      </w:r>
    </w:p>
    <w:p>
      <w:pPr>
        <w:keepNext/>
        <w:spacing w:before="0" w:after="40"/>
      </w:pPr>
      <w:r>
        <w:rPr>
          <w:rFonts w:ascii="Arial" w:hAnsi="Arial"/>
          <w:b/>
          <w:i w:val="0"/>
          <w:color w:val="1E3A8A"/>
          <w:sz w:val="19"/>
          <w:rFonts w:ascii="Arial" w:hAnsi="Arial" w:eastAsia="Microsoft JhengHei" w:cs="Arial"/>
        </w:rPr>
        <w:t>Publicly Listed IT Services Company | Taiwan, China and Thailand</w:t>
        <w:br/>
        <w:t>May 2014 – February 2018</w:t>
      </w:r>
    </w:p>
    <w:p>
      <w:pPr>
        <w:keepNext/>
        <w:spacing w:before="40" w:after="60"/>
      </w:pPr>
      <w:r>
        <w:rPr>
          <w:rFonts w:ascii="Arial" w:hAnsi="Arial"/>
          <w:b w:val="0"/>
          <w:i/>
          <w:color w:val="1F2937"/>
          <w:sz w:val="19"/>
          <w:rFonts w:ascii="Arial" w:hAnsi="Arial" w:eastAsia="Microsoft JhengHei" w:cs="Arial"/>
        </w:rPr>
        <w:t>Led regional IT operations, service management, data-center strategy, infrastructure governance, and cross-border technology support for offices in Taipei, Hsinchu, Taichung, Beijing, and Thailand.</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approximately 34–45 professionals across infrastructure, enterprise applications, service desk, support, and operations.</w:t>
      </w:r>
    </w:p>
    <w:p>
      <w:pPr>
        <w:pStyle w:val="ListBullet"/>
        <w:spacing w:before="0" w:after="30" w:line="276" w:lineRule="auto"/>
        <w:ind w:left="317"/>
      </w:pPr>
      <w:r>
        <w:rPr>
          <w:rFonts w:ascii="Arial" w:hAnsi="Arial"/>
          <w:b w:val="0"/>
          <w:i w:val="0"/>
          <w:color w:val="1F2937"/>
          <w:sz w:val="19"/>
          <w:rFonts w:ascii="Arial" w:hAnsi="Arial" w:eastAsia="Microsoft JhengHei" w:cs="Arial"/>
        </w:rPr>
        <w:t>Led regional IT budgets, data-center operations, backup architecture, disaster-recovery planning, and service-management improvement.</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ITSM and cross-regional service-management processes, improving service consistency, accountability, incident response, and operational transparency across Asia-Pacific offices.</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regional data-center strategy, high-availability architecture, backup governance, and disaster-recovery plans to support critical business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Introduced PMP and agile delivery practices, improving cross-border project governance, delivery predictability, and stakeholder collaboration.</w:t>
      </w:r>
    </w:p>
    <w:p>
      <w:pPr>
        <w:pStyle w:val="ListBullet"/>
        <w:spacing w:before="0" w:after="40" w:line="276" w:lineRule="auto"/>
        <w:ind w:left="317"/>
      </w:pPr>
      <w:r>
        <w:rPr>
          <w:rFonts w:ascii="Arial" w:hAnsi="Arial"/>
          <w:b w:val="0"/>
          <w:i w:val="0"/>
          <w:color w:val="1F2937"/>
          <w:sz w:val="19"/>
          <w:rFonts w:ascii="Arial" w:hAnsi="Arial" w:eastAsia="Microsoft JhengHei" w:cs="Arial"/>
        </w:rPr>
        <w:t>Strengthened infrastructure standards, security operations, and technology-service governance for geographically distributed operations.</w:t>
      </w:r>
    </w:p>
    <w:p>
      <w:pPr>
        <w:keepNext/>
        <w:spacing w:before="200" w:after="20"/>
      </w:pPr>
      <w:r>
        <w:rPr>
          <w:rFonts w:ascii="Arial" w:hAnsi="Arial"/>
          <w:b/>
          <w:i w:val="0"/>
          <w:color w:val="0F2942"/>
          <w:sz w:val="23"/>
          <w:rFonts w:ascii="Arial" w:hAnsi="Arial" w:eastAsia="Microsoft JhengHei" w:cs="Arial"/>
        </w:rPr>
        <w:t>IT Manager / Digital Transformation Lead</w:t>
      </w:r>
    </w:p>
    <w:p>
      <w:pPr>
        <w:keepNext/>
        <w:spacing w:before="0" w:after="20"/>
      </w:pPr>
      <w:r>
        <w:rPr>
          <w:rFonts w:ascii="Arial" w:hAnsi="Arial"/>
          <w:b w:val="0"/>
          <w:i w:val="0"/>
          <w:color w:val="334155"/>
          <w:sz w:val="19"/>
          <w:rFonts w:ascii="Arial" w:hAnsi="Arial" w:eastAsia="Microsoft JhengHei" w:cs="Arial"/>
        </w:rPr>
        <w:t>Kuang Nan Group / Fengchen Group – Aiju Computer (Headquartered in Taichung with offices in Taipei, Shenzhen, Shanghai, Zhangjiagang / 光南集團) Publicly Listed Company</w:t>
      </w:r>
    </w:p>
    <w:p>
      <w:pPr>
        <w:keepNext/>
        <w:spacing w:before="0" w:after="40"/>
      </w:pPr>
      <w:r>
        <w:rPr>
          <w:rFonts w:ascii="Arial" w:hAnsi="Arial"/>
          <w:b/>
          <w:i w:val="0"/>
          <w:color w:val="1E3A8A"/>
          <w:sz w:val="19"/>
          <w:rFonts w:ascii="Arial" w:hAnsi="Arial" w:eastAsia="Microsoft JhengHei" w:cs="Arial"/>
        </w:rPr>
        <w:t>Retail, Distribution &amp; Technology Services Group | Taiwan and China</w:t>
        <w:br/>
        <w:t>July 2011 – April 2014</w:t>
      </w:r>
    </w:p>
    <w:p>
      <w:pPr>
        <w:keepNext/>
        <w:spacing w:before="40" w:after="60"/>
      </w:pPr>
      <w:r>
        <w:rPr>
          <w:rFonts w:ascii="Arial" w:hAnsi="Arial"/>
          <w:b w:val="0"/>
          <w:i/>
          <w:color w:val="1F2937"/>
          <w:sz w:val="19"/>
          <w:rFonts w:ascii="Arial" w:hAnsi="Arial" w:eastAsia="Microsoft JhengHei" w:cs="Arial"/>
        </w:rPr>
        <w:t>Led enterprise-system integration, business-data governance, and digital transformation during merger-and-acquisition activities for a retail and distribution group.</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approximately 15–20 IT professionals.</w:t>
      </w:r>
    </w:p>
    <w:p>
      <w:pPr>
        <w:pStyle w:val="ListBullet"/>
        <w:spacing w:before="0" w:after="30" w:line="276" w:lineRule="auto"/>
        <w:ind w:left="317"/>
      </w:pPr>
      <w:r>
        <w:rPr>
          <w:rFonts w:ascii="Arial" w:hAnsi="Arial"/>
          <w:b w:val="0"/>
          <w:i w:val="0"/>
          <w:color w:val="1F2937"/>
          <w:sz w:val="19"/>
          <w:rFonts w:ascii="Arial" w:hAnsi="Arial" w:eastAsia="Microsoft JhengHei" w:cs="Arial"/>
        </w:rPr>
        <w:t>Responsible for ERP, POS, CRM, enterprise data integration, business continuity, application governance, and transformation budgets.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Consolidated ERP, POS, CRM, and analytics platforms to improve group-level visibility into sales, inventory, customer behavior, and operational performance.</w:t>
      </w:r>
    </w:p>
    <w:p>
      <w:pPr>
        <w:pStyle w:val="ListBullet"/>
        <w:spacing w:before="0" w:after="40" w:line="276" w:lineRule="auto"/>
        <w:ind w:left="317"/>
      </w:pPr>
      <w:r>
        <w:rPr>
          <w:rFonts w:ascii="Arial" w:hAnsi="Arial"/>
          <w:b w:val="0"/>
          <w:i w:val="0"/>
          <w:color w:val="1F2937"/>
          <w:sz w:val="19"/>
          <w:rFonts w:ascii="Arial" w:hAnsi="Arial" w:eastAsia="Microsoft JhengHei" w:cs="Arial"/>
        </w:rPr>
        <w:t>Led data cleansing, master-data governance, migration, and business-system consolidation to maintain continuity during cross-border M&amp;A.</w:t>
      </w:r>
    </w:p>
    <w:p>
      <w:pPr>
        <w:pStyle w:val="ListBullet"/>
        <w:spacing w:before="0" w:after="40" w:line="276" w:lineRule="auto"/>
        <w:ind w:left="317"/>
      </w:pPr>
      <w:r>
        <w:rPr>
          <w:rFonts w:ascii="Arial" w:hAnsi="Arial"/>
          <w:b w:val="0"/>
          <w:i w:val="0"/>
          <w:color w:val="1F2937"/>
          <w:sz w:val="19"/>
          <w:rFonts w:ascii="Arial" w:hAnsi="Arial" w:eastAsia="Microsoft JhengHei" w:cs="Arial"/>
        </w:rPr>
        <w:t>Enabled management reporting and decision support through integrated enterprise-data architecture.</w:t>
      </w:r>
    </w:p>
    <w:p>
      <w:pPr>
        <w:keepNext/>
        <w:spacing w:before="200" w:after="20"/>
      </w:pPr>
      <w:r>
        <w:rPr>
          <w:rFonts w:ascii="Arial" w:hAnsi="Arial"/>
          <w:b/>
          <w:i w:val="0"/>
          <w:color w:val="0F2942"/>
          <w:sz w:val="23"/>
          <w:rFonts w:ascii="Arial" w:hAnsi="Arial" w:eastAsia="Microsoft JhengHei" w:cs="Arial"/>
        </w:rPr>
        <w:t>IT Manager</w:t>
      </w:r>
    </w:p>
    <w:p>
      <w:pPr>
        <w:keepNext/>
        <w:spacing w:before="0" w:after="20"/>
      </w:pPr>
      <w:r>
        <w:rPr>
          <w:rFonts w:ascii="Arial" w:hAnsi="Arial"/>
          <w:b w:val="0"/>
          <w:i w:val="0"/>
          <w:color w:val="334155"/>
          <w:sz w:val="19"/>
          <w:rFonts w:ascii="Arial" w:hAnsi="Arial" w:eastAsia="Microsoft JhengHei" w:cs="Arial"/>
        </w:rPr>
        <w:t>Borland (美商 寶藍) Multinational Company</w:t>
      </w:r>
    </w:p>
    <w:p>
      <w:pPr>
        <w:keepNext/>
        <w:spacing w:before="0" w:after="40"/>
      </w:pPr>
      <w:r>
        <w:rPr>
          <w:rFonts w:ascii="Arial" w:hAnsi="Arial"/>
          <w:b/>
          <w:i w:val="0"/>
          <w:color w:val="1E3A8A"/>
          <w:sz w:val="19"/>
          <w:rFonts w:ascii="Arial" w:hAnsi="Arial" w:eastAsia="Microsoft JhengHei" w:cs="Arial"/>
        </w:rPr>
        <w:t>Multinational Software Company | Taiwan and China</w:t>
        <w:br/>
        <w:t>March 2008 – June 2011</w:t>
      </w:r>
    </w:p>
    <w:p>
      <w:pPr>
        <w:keepNext/>
        <w:spacing w:before="40" w:after="60"/>
      </w:pPr>
      <w:r>
        <w:rPr>
          <w:rFonts w:ascii="Arial" w:hAnsi="Arial"/>
          <w:b w:val="0"/>
          <w:i/>
          <w:color w:val="1F2937"/>
          <w:sz w:val="19"/>
          <w:rFonts w:ascii="Arial" w:hAnsi="Arial" w:eastAsia="Microsoft JhengHei" w:cs="Arial"/>
        </w:rPr>
        <w:t>Built cross-border IT collaboration platforms, high-availability enterprise systems, infrastructure services, and data-protection capabilities for Taiwan and China R&amp;D and operations teams.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high-availability database, application, backup, and recovery architecture for enterprise applications and mission-critical transaction environments.</w:t>
      </w:r>
    </w:p>
    <w:p>
      <w:pPr>
        <w:pStyle w:val="ListBullet"/>
        <w:spacing w:before="0" w:after="40" w:line="276" w:lineRule="auto"/>
        <w:ind w:left="317"/>
      </w:pPr>
      <w:r>
        <w:rPr>
          <w:rFonts w:ascii="Arial" w:hAnsi="Arial"/>
          <w:b w:val="0"/>
          <w:i w:val="0"/>
          <w:color w:val="1F2937"/>
          <w:sz w:val="19"/>
          <w:rFonts w:ascii="Arial" w:hAnsi="Arial" w:eastAsia="Microsoft JhengHei" w:cs="Arial"/>
        </w:rPr>
        <w:t>Supported deployment of software-lifecycle-management platforms, engineering collaboration systems, and regional IT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Maintained operational stability, data protection, and cross-border collaboration capability in multinational operating environments.</w:t>
      </w:r>
    </w:p>
    <w:p>
      <w:pPr>
        <w:keepNext/>
        <w:spacing w:before="200" w:after="20"/>
      </w:pPr>
      <w:r>
        <w:rPr>
          <w:rFonts w:ascii="Arial" w:hAnsi="Arial"/>
          <w:b/>
          <w:i w:val="0"/>
          <w:color w:val="0F2942"/>
          <w:sz w:val="23"/>
          <w:rFonts w:ascii="Arial" w:hAnsi="Arial" w:eastAsia="Microsoft JhengHei" w:cs="Arial"/>
        </w:rPr>
        <w:t>IT Manager</w:t>
      </w:r>
    </w:p>
    <w:p>
      <w:pPr>
        <w:keepNext/>
        <w:spacing w:before="0" w:after="20"/>
      </w:pPr>
      <w:r>
        <w:rPr>
          <w:rFonts w:ascii="Arial" w:hAnsi="Arial"/>
          <w:b w:val="0"/>
          <w:i w:val="0"/>
          <w:color w:val="334155"/>
          <w:sz w:val="19"/>
          <w:rFonts w:ascii="Arial" w:hAnsi="Arial" w:eastAsia="Microsoft JhengHei" w:cs="Arial"/>
        </w:rPr>
        <w:t>Sybase (美商 賽貝斯) Multinational Company</w:t>
      </w:r>
    </w:p>
    <w:p>
      <w:pPr>
        <w:keepNext/>
        <w:spacing w:before="0" w:after="40"/>
      </w:pPr>
      <w:r>
        <w:rPr>
          <w:rFonts w:ascii="Arial" w:hAnsi="Arial"/>
          <w:b/>
          <w:i w:val="0"/>
          <w:color w:val="1E3A8A"/>
          <w:sz w:val="19"/>
          <w:rFonts w:ascii="Arial" w:hAnsi="Arial" w:eastAsia="Microsoft JhengHei" w:cs="Arial"/>
        </w:rPr>
        <w:t>Multinational Database and Enterprise Software Vendor | Asia-Pacific</w:t>
        <w:br/>
        <w:t>August 2002 – February 2008</w:t>
      </w:r>
    </w:p>
    <w:p>
      <w:pPr>
        <w:keepNext/>
        <w:spacing w:before="40" w:after="60"/>
      </w:pPr>
      <w:r>
        <w:rPr>
          <w:rFonts w:ascii="Arial" w:hAnsi="Arial"/>
          <w:b w:val="0"/>
          <w:i/>
          <w:color w:val="1F2937"/>
          <w:sz w:val="19"/>
          <w:rFonts w:ascii="Arial" w:hAnsi="Arial" w:eastAsia="Microsoft JhengHei" w:cs="Arial"/>
        </w:rPr>
        <w:t>Led Asia-Pacific data-center consolidation, infrastructure standardization, database availability, regional IT operations, and mission-critical support for telecommunications and financial-services customers.</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regional infrastructure teams of approximately 10–15 professionals.</w:t>
      </w:r>
    </w:p>
    <w:p>
      <w:pPr>
        <w:pStyle w:val="ListBullet"/>
        <w:spacing w:before="0" w:after="30" w:line="276" w:lineRule="auto"/>
        <w:ind w:left="317"/>
      </w:pPr>
      <w:r>
        <w:rPr>
          <w:rFonts w:ascii="Arial" w:hAnsi="Arial"/>
          <w:b w:val="0"/>
          <w:i w:val="0"/>
          <w:color w:val="1F2937"/>
          <w:sz w:val="19"/>
          <w:rFonts w:ascii="Arial" w:hAnsi="Arial" w:eastAsia="Microsoft JhengHei" w:cs="Arial"/>
        </w:rPr>
        <w:t>Supported enterprise database, high-availability, failover, backup, and data-center environments.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unified Active Directory, data-center consolidation, high-availability database, and failover strategies across Asia-Pacific operations.</w:t>
      </w:r>
    </w:p>
    <w:p>
      <w:pPr>
        <w:pStyle w:val="ListBullet"/>
        <w:spacing w:before="0" w:after="40" w:line="276" w:lineRule="auto"/>
        <w:ind w:left="317"/>
      </w:pPr>
      <w:r>
        <w:rPr>
          <w:rFonts w:ascii="Arial" w:hAnsi="Arial"/>
          <w:b w:val="0"/>
          <w:i w:val="0"/>
          <w:color w:val="1F2937"/>
          <w:sz w:val="19"/>
          <w:rFonts w:ascii="Arial" w:hAnsi="Arial" w:eastAsia="Microsoft JhengHei" w:cs="Arial"/>
        </w:rPr>
        <w:t>Delivered carrier-grade database tuning, availability, recovery, and performance solutions for business-critical customer environments.</w:t>
      </w:r>
    </w:p>
    <w:p>
      <w:pPr>
        <w:pStyle w:val="ListBullet"/>
        <w:spacing w:before="0" w:after="40" w:line="276" w:lineRule="auto"/>
        <w:ind w:left="317"/>
      </w:pPr>
      <w:r>
        <w:rPr>
          <w:rFonts w:ascii="Arial" w:hAnsi="Arial"/>
          <w:b w:val="0"/>
          <w:i w:val="0"/>
          <w:color w:val="1F2937"/>
          <w:sz w:val="19"/>
          <w:rFonts w:ascii="Arial" w:hAnsi="Arial" w:eastAsia="Microsoft JhengHei" w:cs="Arial"/>
        </w:rPr>
        <w:t>Ensured operational continuity and audit compliance during regional consolidation and global customer projects.</w:t>
      </w:r>
    </w:p>
    <w:p>
      <w:pPr>
        <w:keepNext/>
        <w:spacing w:before="280" w:after="80"/>
        <w:pBdr>
          <w:bottom w:val="single" w:sz="12" w:space="3" w:color="1E3A8A"/>
        </w:pBdr>
      </w:pPr>
      <w:r>
        <w:rPr>
          <w:rFonts w:ascii="Arial" w:hAnsi="Arial"/>
          <w:b/>
          <w:i w:val="0"/>
          <w:color w:val="0F2942"/>
          <w:sz w:val="26"/>
          <w:rFonts w:ascii="Arial" w:hAnsi="Arial" w:eastAsia="Microsoft JhengHei" w:cs="Arial"/>
        </w:rPr>
        <w:t>Professional Certifications</w:t>
      </w:r>
    </w:p>
    <w:p>
      <w:pPr>
        <w:pStyle w:val="ListBullet"/>
        <w:spacing w:before="0" w:after="40" w:line="276" w:lineRule="auto"/>
        <w:ind w:left="317"/>
      </w:pPr>
      <w:r>
        <w:rPr>
          <w:rFonts w:ascii="Arial" w:hAnsi="Arial"/>
          <w:b w:val="0"/>
          <w:i w:val="0"/>
          <w:color w:val="1F2937"/>
          <w:sz w:val="19"/>
          <w:rFonts w:ascii="Arial" w:hAnsi="Arial" w:eastAsia="Microsoft JhengHei" w:cs="Arial"/>
        </w:rPr>
        <w:t>ISO 27001 Information Security Management System — Lead Auditor / Internal Auditor</w:t>
      </w:r>
    </w:p>
    <w:p>
      <w:pPr>
        <w:pStyle w:val="ListBullet"/>
        <w:spacing w:before="0" w:after="40" w:line="276" w:lineRule="auto"/>
        <w:ind w:left="317"/>
      </w:pPr>
      <w:r>
        <w:rPr>
          <w:rFonts w:ascii="Arial" w:hAnsi="Arial"/>
          <w:b w:val="0"/>
          <w:i w:val="0"/>
          <w:color w:val="1F2937"/>
          <w:sz w:val="19"/>
          <w:rFonts w:ascii="Arial" w:hAnsi="Arial" w:eastAsia="Microsoft JhengHei" w:cs="Arial"/>
        </w:rPr>
        <w:t>ISO/IEC 42001 AI Management System — AI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Project Management Professional — PMP</w:t>
      </w:r>
    </w:p>
    <w:p>
      <w:pPr>
        <w:pStyle w:val="ListBullet"/>
        <w:spacing w:before="0" w:after="40" w:line="276" w:lineRule="auto"/>
        <w:ind w:left="317"/>
      </w:pPr>
      <w:r>
        <w:rPr>
          <w:rFonts w:ascii="Arial" w:hAnsi="Arial"/>
          <w:b w:val="0"/>
          <w:i w:val="0"/>
          <w:color w:val="1F2937"/>
          <w:sz w:val="19"/>
          <w:rFonts w:ascii="Arial" w:hAnsi="Arial" w:eastAsia="Microsoft JhengHei" w:cs="Arial"/>
        </w:rPr>
        <w:t>Certified ScrumMaster — CSM</w:t>
      </w:r>
    </w:p>
    <w:p>
      <w:pPr>
        <w:pStyle w:val="ListBullet"/>
        <w:spacing w:before="0" w:after="40" w:line="276" w:lineRule="auto"/>
        <w:ind w:left="317"/>
      </w:pPr>
      <w:r>
        <w:rPr>
          <w:rFonts w:ascii="Arial" w:hAnsi="Arial"/>
          <w:b w:val="0"/>
          <w:i w:val="0"/>
          <w:color w:val="1F2937"/>
          <w:sz w:val="19"/>
          <w:rFonts w:ascii="Arial" w:hAnsi="Arial" w:eastAsia="Microsoft JhengHei" w:cs="Arial"/>
        </w:rPr>
        <w:t>Oracle Certified Professional — OCP</w:t>
      </w:r>
    </w:p>
    <w:p>
      <w:pPr>
        <w:pStyle w:val="ListBullet"/>
        <w:spacing w:before="0" w:after="40" w:line="276" w:lineRule="auto"/>
        <w:ind w:left="317"/>
      </w:pPr>
      <w:r>
        <w:rPr>
          <w:rFonts w:ascii="Arial" w:hAnsi="Arial"/>
          <w:b w:val="0"/>
          <w:i w:val="0"/>
          <w:color w:val="1F2937"/>
          <w:sz w:val="19"/>
          <w:rFonts w:ascii="Arial" w:hAnsi="Arial" w:eastAsia="Microsoft JhengHei" w:cs="Arial"/>
        </w:rPr>
        <w:t>Oracle Certified Associate — OCA</w:t>
      </w:r>
    </w:p>
    <w:p>
      <w:pPr>
        <w:pStyle w:val="ListBullet"/>
        <w:spacing w:before="0" w:after="40" w:line="276" w:lineRule="auto"/>
        <w:ind w:left="317"/>
      </w:pPr>
      <w:r>
        <w:rPr>
          <w:rFonts w:ascii="Arial" w:hAnsi="Arial"/>
          <w:b w:val="0"/>
          <w:i w:val="0"/>
          <w:color w:val="1F2937"/>
          <w:sz w:val="19"/>
          <w:rFonts w:ascii="Arial" w:hAnsi="Arial" w:eastAsia="Microsoft JhengHei" w:cs="Arial"/>
        </w:rPr>
        <w:t>ESG Sustainability Planner</w:t>
      </w:r>
    </w:p>
    <w:p>
      <w:pPr>
        <w:keepNext/>
        <w:spacing w:before="280" w:after="80"/>
        <w:pBdr>
          <w:bottom w:val="single" w:sz="12" w:space="3" w:color="1E3A8A"/>
        </w:pBdr>
      </w:pPr>
      <w:r>
        <w:rPr>
          <w:rFonts w:ascii="Arial" w:hAnsi="Arial"/>
          <w:b/>
          <w:i w:val="0"/>
          <w:color w:val="0F2942"/>
          <w:sz w:val="26"/>
          <w:rFonts w:ascii="Arial" w:hAnsi="Arial" w:eastAsia="Microsoft JhengHei" w:cs="Arial"/>
        </w:rPr>
        <w:t>Academic Education</w:t>
      </w:r>
    </w:p>
    <w:p>
      <w:pPr>
        <w:keepNext/>
        <w:spacing w:before="160" w:after="40"/>
      </w:pPr>
      <w:r>
        <w:rPr>
          <w:rFonts w:ascii="Arial" w:hAnsi="Arial"/>
          <w:b/>
          <w:i w:val="0"/>
          <w:color w:val="1E3A8A"/>
          <w:sz w:val="21"/>
          <w:rFonts w:ascii="Arial" w:hAnsi="Arial" w:eastAsia="Microsoft JhengHei" w:cs="Arial"/>
        </w:rPr>
        <w:t>Ph.D. in Information Technology Management</w:t>
      </w:r>
    </w:p>
    <w:p>
      <w:pPr>
        <w:keepNext/>
        <w:spacing w:before="0" w:after="20"/>
      </w:pPr>
      <w:r>
        <w:rPr>
          <w:rFonts w:ascii="Arial" w:hAnsi="Arial"/>
          <w:b/>
          <w:i w:val="0"/>
          <w:color w:val="1E3A8A"/>
          <w:sz w:val="19"/>
          <w:rFonts w:ascii="Arial" w:hAnsi="Arial" w:eastAsia="Microsoft JhengHei" w:cs="Arial"/>
        </w:rPr>
        <w:t>Chaoyang University of Technology, College of Informatics</w:t>
        <w:br/>
        <w:t>September 2009 – June 2013</w:t>
      </w:r>
    </w:p>
    <w:p>
      <w:pPr>
        <w:spacing w:before="0" w:after="80" w:line="276" w:lineRule="auto"/>
      </w:pPr>
      <w:r>
        <w:rPr>
          <w:rFonts w:ascii="Arial" w:hAnsi="Arial"/>
          <w:b w:val="0"/>
          <w:i w:val="0"/>
          <w:color w:val="1F2937"/>
          <w:sz w:val="19"/>
          <w:rFonts w:ascii="Arial" w:hAnsi="Arial" w:eastAsia="Microsoft JhengHei" w:cs="Arial"/>
        </w:rPr>
        <w:t>Research interests: Cybersecurity governance, cloud security, AI governance, data governance, software engineering, DevSecOps, and digital transformation strategy.</w:t>
      </w:r>
    </w:p>
    <w:p>
      <w:pPr>
        <w:keepNext/>
        <w:spacing w:before="160" w:after="40"/>
      </w:pPr>
      <w:r>
        <w:rPr>
          <w:rFonts w:ascii="Arial" w:hAnsi="Arial"/>
          <w:b/>
          <w:i w:val="0"/>
          <w:color w:val="1E3A8A"/>
          <w:sz w:val="21"/>
          <w:rFonts w:ascii="Arial" w:hAnsi="Arial" w:eastAsia="Microsoft JhengHei" w:cs="Arial"/>
        </w:rPr>
        <w:t>Master of Science in Information Science</w:t>
      </w:r>
    </w:p>
    <w:p>
      <w:pPr>
        <w:keepNext/>
        <w:spacing w:before="0" w:after="20"/>
      </w:pPr>
      <w:r>
        <w:rPr>
          <w:rFonts w:ascii="Arial" w:hAnsi="Arial"/>
          <w:b/>
          <w:i w:val="0"/>
          <w:color w:val="1E3A8A"/>
          <w:sz w:val="19"/>
          <w:rFonts w:ascii="Arial" w:hAnsi="Arial" w:eastAsia="Microsoft JhengHei" w:cs="Arial"/>
        </w:rPr>
        <w:t>National Chung Hsing University, Institute of Computer Science</w:t>
        <w:br/>
        <w:t>September 2004 – June 2006</w:t>
      </w:r>
    </w:p>
    <w:p>
      <w:pPr>
        <w:spacing w:before="0" w:after="80" w:line="276" w:lineRule="auto"/>
      </w:pPr>
      <w:r>
        <w:rPr>
          <w:rFonts w:ascii="Arial" w:hAnsi="Arial"/>
          <w:b w:val="0"/>
          <w:i w:val="0"/>
          <w:color w:val="1F2937"/>
          <w:sz w:val="19"/>
          <w:rFonts w:ascii="Arial" w:hAnsi="Arial" w:eastAsia="Microsoft JhengHei" w:cs="Arial"/>
        </w:rPr>
        <w:t>Focus areas: Modern cryptography, data mining, data governance, software engineering, systems analysis, and enterprise information systems.</w:t>
      </w:r>
    </w:p>
    <w:p>
      <w:pPr>
        <w:keepNext/>
        <w:spacing w:before="160" w:after="40"/>
      </w:pPr>
      <w:r>
        <w:rPr>
          <w:rFonts w:ascii="Arial" w:hAnsi="Arial"/>
          <w:b/>
          <w:i w:val="0"/>
          <w:color w:val="1E3A8A"/>
          <w:sz w:val="21"/>
          <w:rFonts w:ascii="Arial" w:hAnsi="Arial" w:eastAsia="Microsoft JhengHei" w:cs="Arial"/>
        </w:rPr>
        <w:t>Bachelor of Computer Science</w:t>
      </w:r>
    </w:p>
    <w:p>
      <w:pPr>
        <w:keepNext/>
        <w:spacing w:before="0" w:after="20"/>
      </w:pPr>
      <w:r>
        <w:rPr>
          <w:rFonts w:ascii="Arial" w:hAnsi="Arial"/>
          <w:b/>
          <w:i w:val="0"/>
          <w:color w:val="1E3A8A"/>
          <w:sz w:val="19"/>
          <w:rFonts w:ascii="Arial" w:hAnsi="Arial" w:eastAsia="Microsoft JhengHei" w:cs="Arial"/>
        </w:rPr>
        <w:t>National Chung Hsing University, Department of Computer Science</w:t>
        <w:br/>
        <w:t>September 2000 – June 2004</w:t>
      </w:r>
    </w:p>
    <w:p>
      <w:pPr>
        <w:spacing w:before="0" w:after="80" w:line="276" w:lineRule="auto"/>
      </w:pPr>
      <w:r>
        <w:rPr>
          <w:rFonts w:ascii="Arial" w:hAnsi="Arial"/>
          <w:b w:val="0"/>
          <w:i w:val="0"/>
          <w:color w:val="1F2937"/>
          <w:sz w:val="19"/>
          <w:rFonts w:ascii="Arial" w:hAnsi="Arial" w:eastAsia="Microsoft JhengHei" w:cs="Arial"/>
        </w:rPr>
        <w:t>Focus areas: Software development lifecycle, software engineering, systems analysis, enterprise architecture, and application development.</w:t>
      </w:r>
    </w:p>
    <w:p>
      <w:pPr>
        <w:keepNext/>
        <w:spacing w:before="280" w:after="80"/>
        <w:pBdr>
          <w:bottom w:val="single" w:sz="12" w:space="3" w:color="1E3A8A"/>
        </w:pBdr>
      </w:pPr>
      <w:r>
        <w:rPr>
          <w:rFonts w:ascii="Arial" w:hAnsi="Arial"/>
          <w:b/>
          <w:i w:val="0"/>
          <w:color w:val="0F2942"/>
          <w:sz w:val="26"/>
          <w:rFonts w:ascii="Arial" w:hAnsi="Arial" w:eastAsia="Microsoft JhengHei" w:cs="Arial"/>
        </w:rPr>
        <w:t>Awards, Keynotes, Publications &amp; Speaking</w:t>
      </w:r>
    </w:p>
    <w:p>
      <w:pPr>
        <w:keepNext/>
        <w:spacing w:before="160" w:after="40"/>
      </w:pPr>
      <w:r>
        <w:rPr>
          <w:rFonts w:ascii="Arial" w:hAnsi="Arial"/>
          <w:b/>
          <w:i w:val="0"/>
          <w:color w:val="1E3A8A"/>
          <w:sz w:val="22"/>
          <w:rFonts w:ascii="Arial" w:hAnsi="Arial" w:eastAsia="Microsoft JhengHei" w:cs="Arial"/>
        </w:rPr>
        <w:t>1. Keynote Addresses &amp; Professional Speaking</w:t>
      </w:r>
    </w:p>
    <w:p>
      <w:pPr>
        <w:keepNext/>
        <w:spacing w:before="140" w:after="20"/>
      </w:pPr>
      <w:r>
        <w:rPr>
          <w:rFonts w:ascii="Arial" w:hAnsi="Arial"/>
          <w:b/>
          <w:i w:val="0"/>
          <w:color w:val="0F2942"/>
          <w:sz w:val="21"/>
          <w:rFonts w:ascii="Arial" w:hAnsi="Arial" w:eastAsia="Microsoft JhengHei" w:cs="Arial"/>
        </w:rPr>
        <w:t>MongoDB.local Taipei Keynote Speaker</w:t>
      </w:r>
    </w:p>
    <w:p>
      <w:pPr>
        <w:keepNext/>
        <w:spacing w:before="0" w:after="40"/>
      </w:pPr>
      <w:r>
        <w:rPr>
          <w:rFonts w:ascii="Arial" w:hAnsi="Arial"/>
          <w:b/>
          <w:i w:val="0"/>
          <w:color w:val="1E3A8A"/>
          <w:sz w:val="18"/>
          <w:rFonts w:ascii="Arial" w:hAnsi="Arial" w:eastAsia="Microsoft JhengHei" w:cs="Arial"/>
        </w:rPr>
        <w:t>MongoDB Inc. | September 2024</w:t>
      </w:r>
    </w:p>
    <w:p>
      <w:pPr>
        <w:spacing w:before="0" w:after="40" w:line="276" w:lineRule="auto"/>
      </w:pPr>
      <w:r>
        <w:rPr>
          <w:rFonts w:ascii="Arial" w:hAnsi="Arial"/>
          <w:b w:val="0"/>
          <w:i w:val="0"/>
          <w:color w:val="1F2937"/>
          <w:sz w:val="19"/>
          <w:rFonts w:ascii="Arial" w:hAnsi="Arial" w:eastAsia="Microsoft JhengHei" w:cs="Arial"/>
        </w:rPr>
        <w:t>Delivered Keynote on global multi-region high-availability data architecture, sharing how MongoDB Atlas fully managed cloud database supported global cross-region low-latency gaming with 99.995% availability.</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https://www.ithome.com.tw/pr/163534</w:t>
      </w:r>
    </w:p>
    <w:p>
      <w:pPr>
        <w:keepNext/>
        <w:spacing w:before="40" w:after="10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0"/>
                    <a:stretch>
                      <a:fillRect/>
                    </a:stretch>
                  </pic:blipFill>
                  <pic:spPr>
                    <a:xfrm>
                      <a:off x="0" y="0"/>
                      <a:ext cx="3108960" cy="1592431"/>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CIO Taiwan Value Academy 17th Keynote Speaker</w:t>
      </w:r>
    </w:p>
    <w:p>
      <w:pPr>
        <w:keepNext/>
        <w:spacing w:before="0" w:after="40"/>
      </w:pPr>
      <w:r>
        <w:rPr>
          <w:rFonts w:ascii="Arial" w:hAnsi="Arial"/>
          <w:b/>
          <w:i w:val="0"/>
          <w:color w:val="1E3A8A"/>
          <w:sz w:val="18"/>
          <w:rFonts w:ascii="Arial" w:hAnsi="Arial" w:eastAsia="Microsoft JhengHei" w:cs="Arial"/>
        </w:rPr>
        <w:t>CIO Taiwan Value Academy | May 2024</w:t>
      </w:r>
    </w:p>
    <w:p>
      <w:pPr>
        <w:spacing w:before="0" w:after="40" w:line="276" w:lineRule="auto"/>
      </w:pPr>
      <w:r>
        <w:rPr>
          <w:rFonts w:ascii="Arial" w:hAnsi="Arial"/>
          <w:b w:val="0"/>
          <w:i w:val="0"/>
          <w:color w:val="1F2937"/>
          <w:sz w:val="19"/>
          <w:rFonts w:ascii="Arial" w:hAnsi="Arial" w:eastAsia="Microsoft JhengHei" w:cs="Arial"/>
        </w:rPr>
        <w:t>Keynote presentation to enterprise CIOs/CISOs on multi-cloud resource governance, cybersecurity compliance, FinOps TCO optimization, and architecture resilience.</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https://www.cio.com.tw/events/value-index-2/</w:t>
      </w:r>
    </w:p>
    <w:p>
      <w:pPr>
        <w:keepNext/>
        <w:spacing w:before="40" w:after="10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1"/>
                    <a:stretch>
                      <a:fillRect/>
                    </a:stretch>
                  </pic:blipFill>
                  <pic:spPr>
                    <a:xfrm>
                      <a:off x="0" y="0"/>
                      <a:ext cx="2926080" cy="1645920"/>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Executive Yuan DGPA Master Lecture Series</w:t>
      </w:r>
    </w:p>
    <w:p>
      <w:pPr>
        <w:keepNext/>
        <w:spacing w:before="0" w:after="40"/>
      </w:pPr>
      <w:r>
        <w:rPr>
          <w:rFonts w:ascii="Arial" w:hAnsi="Arial"/>
          <w:b/>
          <w:i w:val="0"/>
          <w:color w:val="1E3A8A"/>
          <w:sz w:val="18"/>
          <w:rFonts w:ascii="Arial" w:hAnsi="Arial" w:eastAsia="Microsoft JhengHei" w:cs="Arial"/>
        </w:rPr>
        <w:t>Directorate-General of Personnel Administration | June 2024</w:t>
      </w:r>
    </w:p>
    <w:p>
      <w:pPr>
        <w:spacing w:before="0" w:after="40" w:line="276" w:lineRule="auto"/>
      </w:pPr>
      <w:r>
        <w:rPr>
          <w:rFonts w:ascii="Arial" w:hAnsi="Arial"/>
          <w:b w:val="0"/>
          <w:i w:val="0"/>
          <w:color w:val="1F2937"/>
          <w:sz w:val="19"/>
          <w:rFonts w:ascii="Arial" w:hAnsi="Arial" w:eastAsia="Microsoft JhengHei" w:cs="Arial"/>
        </w:rPr>
        <w:t>Invited master instructor for civil servants, promoting cloud modernization, Zero Trust architecture, and resilient IT governance.</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https://elearn.hrd.gov.tw/info/10042804</w:t>
      </w:r>
    </w:p>
    <w:p>
      <w:pPr>
        <w:keepNext/>
        <w:spacing w:before="40" w:after="10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2"/>
                    <a:stretch>
                      <a:fillRect/>
                    </a:stretch>
                  </pic:blipFill>
                  <pic:spPr>
                    <a:xfrm>
                      <a:off x="0" y="0"/>
                      <a:ext cx="2743200" cy="2335647"/>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Google Cloud Official Global Customer Success Story</w:t>
      </w:r>
    </w:p>
    <w:p>
      <w:pPr>
        <w:keepNext/>
        <w:spacing w:before="0" w:after="40"/>
      </w:pPr>
      <w:r>
        <w:rPr>
          <w:rFonts w:ascii="Arial" w:hAnsi="Arial"/>
          <w:b/>
          <w:i w:val="0"/>
          <w:color w:val="1E3A8A"/>
          <w:sz w:val="18"/>
          <w:rFonts w:ascii="Arial" w:hAnsi="Arial" w:eastAsia="Microsoft JhengHei" w:cs="Arial"/>
        </w:rPr>
        <w:t>Google Cloud APAC Video | March 2024</w:t>
      </w:r>
    </w:p>
    <w:p>
      <w:pPr>
        <w:spacing w:before="0" w:after="40" w:line="276" w:lineRule="auto"/>
      </w:pPr>
      <w:r>
        <w:rPr>
          <w:rFonts w:ascii="Arial" w:hAnsi="Arial"/>
          <w:b w:val="0"/>
          <w:i w:val="0"/>
          <w:color w:val="1F2937"/>
          <w:sz w:val="19"/>
          <w:rFonts w:ascii="Arial" w:hAnsi="Arial" w:eastAsia="Microsoft JhengHei" w:cs="Arial"/>
        </w:rPr>
        <w:t>Featured in official video case study on deploying Kubernetes/GKE multi-zone architecture achieving 100% Zero Outage during peak traffic spikes.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https://youtu.be/_kTZSZ_0lNE?si=CT2lo8c4IF0zI1Ki</w:t>
      </w:r>
    </w:p>
    <w:p>
      <w:pPr>
        <w:keepNext/>
        <w:spacing w:before="160" w:after="40"/>
      </w:pPr>
      <w:r>
        <w:rPr>
          <w:rFonts w:ascii="Arial" w:hAnsi="Arial"/>
          <w:b/>
          <w:i w:val="0"/>
          <w:color w:val="1E3A8A"/>
          <w:sz w:val="22"/>
          <w:rFonts w:ascii="Arial" w:hAnsi="Arial" w:eastAsia="Microsoft JhengHei" w:cs="Arial"/>
        </w:rPr>
        <w:t>2. Academic Publications &amp; Research</w:t>
      </w:r>
    </w:p>
    <w:p>
      <w:pPr>
        <w:keepNext/>
        <w:spacing w:before="140" w:after="20"/>
      </w:pPr>
      <w:r>
        <w:rPr>
          <w:rFonts w:ascii="Arial" w:hAnsi="Arial"/>
          <w:b/>
          <w:i w:val="0"/>
          <w:color w:val="0F2942"/>
          <w:sz w:val="21"/>
          <w:rFonts w:ascii="Arial" w:hAnsi="Arial" w:eastAsia="Microsoft JhengHei" w:cs="Arial"/>
        </w:rPr>
        <w:t>Springer SCI Journal Paper Publication: Reversible secret-image sharing with high visual quality</w:t>
      </w:r>
    </w:p>
    <w:p>
      <w:pPr>
        <w:keepNext/>
        <w:spacing w:before="0" w:after="40"/>
      </w:pPr>
      <w:r>
        <w:rPr>
          <w:rFonts w:ascii="Arial" w:hAnsi="Arial"/>
          <w:b/>
          <w:i w:val="0"/>
          <w:color w:val="1E3A8A"/>
          <w:sz w:val="18"/>
          <w:rFonts w:ascii="Arial" w:hAnsi="Arial" w:eastAsia="Microsoft JhengHei" w:cs="Arial"/>
        </w:rPr>
        <w:t>Multimedia Tools and Applications (Springer Nature, Vol. 74) | June 2014</w:t>
      </w:r>
    </w:p>
    <w:p>
      <w:pPr>
        <w:spacing w:before="0" w:after="40" w:line="276" w:lineRule="auto"/>
      </w:pPr>
      <w:r>
        <w:rPr>
          <w:rFonts w:ascii="Arial" w:hAnsi="Arial"/>
          <w:b w:val="0"/>
          <w:i w:val="0"/>
          <w:color w:val="1F2937"/>
          <w:sz w:val="19"/>
          <w:rFonts w:ascii="Arial" w:hAnsi="Arial" w:eastAsia="Microsoft JhengHei" w:cs="Arial"/>
        </w:rPr>
        <w:t>Authors: Ching-Chiuan Lin, Lun-Hao Liao (Howard Liao), Kuo-Feng Hwang, Shih-Chieh Chen. Proposes a high visual quality reversible secret-image sharing scheme in cryptographic image security.</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https://link.springer.com/article/10.1007/s11042-012-1190-1</w:t>
      </w:r>
    </w:p>
    <w:p>
      <w:pPr>
        <w:keepNext/>
        <w:spacing w:before="140" w:after="20"/>
      </w:pPr>
      <w:r>
        <w:rPr>
          <w:rFonts w:ascii="Arial" w:hAnsi="Arial"/>
          <w:b/>
          <w:i w:val="0"/>
          <w:color w:val="0F2942"/>
          <w:sz w:val="21"/>
          <w:rFonts w:ascii="Arial" w:hAnsi="Arial" w:eastAsia="Microsoft JhengHei" w:cs="Arial"/>
        </w:rPr>
        <w:t>International Journal Publication: Utilizing GIS and GPS in Designing a Trilingual Tourist APP</w:t>
      </w:r>
    </w:p>
    <w:p>
      <w:pPr>
        <w:keepNext/>
        <w:spacing w:before="0" w:after="40"/>
      </w:pPr>
      <w:r>
        <w:rPr>
          <w:rFonts w:ascii="Arial" w:hAnsi="Arial"/>
          <w:b/>
          <w:i w:val="0"/>
          <w:color w:val="1E3A8A"/>
          <w:sz w:val="18"/>
          <w:rFonts w:ascii="Arial" w:hAnsi="Arial" w:eastAsia="Microsoft JhengHei" w:cs="Arial"/>
        </w:rPr>
        <w:t>Applied Science and Management Research (Vol. 2) | May 2015</w:t>
      </w:r>
    </w:p>
    <w:p>
      <w:pPr>
        <w:spacing w:before="0" w:after="40" w:line="276" w:lineRule="auto"/>
      </w:pPr>
      <w:r>
        <w:rPr>
          <w:rFonts w:ascii="Arial" w:hAnsi="Arial"/>
          <w:b w:val="0"/>
          <w:i w:val="0"/>
          <w:color w:val="1F2937"/>
          <w:sz w:val="19"/>
          <w:rFonts w:ascii="Arial" w:hAnsi="Arial" w:eastAsia="Microsoft JhengHei" w:cs="Arial"/>
        </w:rPr>
        <w:t>Research on location-based mobile systems integrating GIS and GPS technologies for multilingual travel platforms.</w:t>
      </w:r>
    </w:p>
    <w:p>
      <w:pPr>
        <w:keepNext/>
        <w:spacing w:before="140" w:after="20"/>
      </w:pPr>
      <w:r>
        <w:rPr>
          <w:rFonts w:ascii="Arial" w:hAnsi="Arial"/>
          <w:b/>
          <w:i w:val="0"/>
          <w:color w:val="0F2942"/>
          <w:sz w:val="21"/>
          <w:rFonts w:ascii="Arial" w:hAnsi="Arial" w:eastAsia="Microsoft JhengHei" w:cs="Arial"/>
        </w:rPr>
        <w:t>National Central Library Legal Archive &amp; Academic Advising</w:t>
      </w:r>
    </w:p>
    <w:p>
      <w:pPr>
        <w:keepNext/>
        <w:spacing w:before="0" w:after="40"/>
      </w:pPr>
      <w:r>
        <w:rPr>
          <w:rFonts w:ascii="Arial" w:hAnsi="Arial"/>
          <w:b/>
          <w:i w:val="0"/>
          <w:color w:val="1E3A8A"/>
          <w:sz w:val="18"/>
          <w:rFonts w:ascii="Arial" w:hAnsi="Arial" w:eastAsia="Microsoft JhengHei" w:cs="Arial"/>
        </w:rPr>
        <w:t>National Central Library (Advising Archive ID: 106IKTC0183002) | October 2014</w:t>
      </w:r>
    </w:p>
    <w:p>
      <w:pPr>
        <w:spacing w:before="0" w:after="40" w:line="276" w:lineRule="auto"/>
      </w:pPr>
      <w:r>
        <w:rPr>
          <w:rFonts w:ascii="Arial" w:hAnsi="Arial"/>
          <w:b w:val="0"/>
          <w:i w:val="0"/>
          <w:color w:val="1F2937"/>
          <w:sz w:val="19"/>
          <w:rFonts w:ascii="Arial" w:hAnsi="Arial" w:eastAsia="Microsoft JhengHei" w:cs="Arial"/>
        </w:rPr>
        <w:t>Ph.D. dissertation on ITIL V3 and SOA framework governance. Registered research advisor in National Central Library under ID 106IKTC0183002.</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https://ndltd.ncl.edu.tw/</w:t>
      </w:r>
    </w:p>
    <w:p>
      <w:pPr>
        <w:keepNext/>
        <w:spacing w:before="160" w:after="40"/>
      </w:pPr>
      <w:r>
        <w:rPr>
          <w:rFonts w:ascii="Arial" w:hAnsi="Arial"/>
          <w:b/>
          <w:i w:val="0"/>
          <w:color w:val="1E3A8A"/>
          <w:sz w:val="22"/>
          <w:rFonts w:ascii="Arial" w:hAnsi="Arial" w:eastAsia="Microsoft JhengHei" w:cs="Arial"/>
        </w:rPr>
        <w:t>3. Media Coverage &amp; Technical Features</w:t>
      </w:r>
    </w:p>
    <w:p>
      <w:pPr>
        <w:keepNext/>
        <w:spacing w:before="140" w:after="20"/>
      </w:pPr>
      <w:r>
        <w:rPr>
          <w:rFonts w:ascii="Arial" w:hAnsi="Arial"/>
          <w:b/>
          <w:i w:val="0"/>
          <w:color w:val="0F2942"/>
          <w:sz w:val="21"/>
          <w:rFonts w:ascii="Arial" w:hAnsi="Arial" w:eastAsia="Microsoft JhengHei" w:cs="Arial"/>
        </w:rPr>
        <w:t>CIO Taiwan Magazine Cover Feature Interview</w:t>
      </w:r>
    </w:p>
    <w:p>
      <w:pPr>
        <w:keepNext/>
        <w:spacing w:before="0" w:after="40"/>
      </w:pPr>
      <w:r>
        <w:rPr>
          <w:rFonts w:ascii="Arial" w:hAnsi="Arial"/>
          <w:b/>
          <w:i w:val="0"/>
          <w:color w:val="1E3A8A"/>
          <w:sz w:val="18"/>
          <w:rFonts w:ascii="Arial" w:hAnsi="Arial" w:eastAsia="Microsoft JhengHei" w:cs="Arial"/>
        </w:rPr>
        <w:t>CIO Taiwan Magazine (Issue 2024.05) | May 2024</w:t>
      </w:r>
    </w:p>
    <w:p>
      <w:pPr>
        <w:spacing w:before="0" w:after="40" w:line="276" w:lineRule="auto"/>
      </w:pPr>
      <w:r>
        <w:rPr>
          <w:rFonts w:ascii="Arial" w:hAnsi="Arial"/>
          <w:b w:val="0"/>
          <w:i w:val="0"/>
          <w:color w:val="1F2937"/>
          <w:sz w:val="19"/>
          <w:rFonts w:ascii="Arial" w:hAnsi="Arial" w:eastAsia="Microsoft JhengHei" w:cs="Arial"/>
        </w:rPr>
        <w:t>In-depth interview by Editor-in-Chief on Multi-Cloud Networking (MCN), Kubernetes native architecture, and FinOps cost optimization.</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https://www.cio.com.tw/interview-howard-liao-online-gamesparcs-it-director/</w:t>
      </w:r>
    </w:p>
    <w:p>
      <w:pPr>
        <w:keepNext/>
        <w:spacing w:before="40" w:after="10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3"/>
                    <a:stretch>
                      <a:fillRect/>
                    </a:stretch>
                  </pic:blipFill>
                  <pic:spPr>
                    <a:xfrm>
                      <a:off x="0" y="0"/>
                      <a:ext cx="2743200" cy="2735295"/>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iThome Tech Feature Report</w:t>
      </w:r>
    </w:p>
    <w:p>
      <w:pPr>
        <w:keepNext/>
        <w:spacing w:before="0" w:after="40"/>
      </w:pPr>
      <w:r>
        <w:rPr>
          <w:rFonts w:ascii="Arial" w:hAnsi="Arial"/>
          <w:b/>
          <w:i w:val="0"/>
          <w:color w:val="1E3A8A"/>
          <w:sz w:val="18"/>
          <w:rFonts w:ascii="Arial" w:hAnsi="Arial" w:eastAsia="Microsoft JhengHei" w:cs="Arial"/>
        </w:rPr>
        <w:t>iThome Computer Daily | September 2024</w:t>
      </w:r>
    </w:p>
    <w:p>
      <w:pPr>
        <w:spacing w:before="0" w:after="40" w:line="276" w:lineRule="auto"/>
      </w:pPr>
      <w:r>
        <w:rPr>
          <w:rFonts w:ascii="Arial" w:hAnsi="Arial"/>
          <w:b w:val="0"/>
          <w:i w:val="0"/>
          <w:color w:val="1F2937"/>
          <w:sz w:val="19"/>
          <w:rFonts w:ascii="Arial" w:hAnsi="Arial" w:eastAsia="Microsoft JhengHei" w:cs="Arial"/>
        </w:rPr>
        <w:t>Full-page technology feature highlighting Howard Liao's data platform architecture delivering 99.995% availability for global operations.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https://www.ithome.com.tw/pr/163534</w:t>
      </w:r>
    </w:p>
    <w:p>
      <w:pPr>
        <w:keepNext/>
        <w:spacing w:before="40" w:after="10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4"/>
                    <a:stretch>
                      <a:fillRect/>
                    </a:stretch>
                  </pic:blipFill>
                  <pic:spPr>
                    <a:xfrm>
                      <a:off x="0" y="0"/>
                      <a:ext cx="2926080" cy="1456380"/>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DIGITIMES Tech News Feature: MongoDB 8.0 Launch</w:t>
      </w:r>
    </w:p>
    <w:p>
      <w:pPr>
        <w:keepNext/>
        <w:spacing w:before="0" w:after="40"/>
      </w:pPr>
      <w:r>
        <w:rPr>
          <w:rFonts w:ascii="Arial" w:hAnsi="Arial"/>
          <w:b/>
          <w:i w:val="0"/>
          <w:color w:val="1E3A8A"/>
          <w:sz w:val="18"/>
          <w:rFonts w:ascii="Arial" w:hAnsi="Arial" w:eastAsia="Microsoft JhengHei" w:cs="Arial"/>
        </w:rPr>
        <w:t>DIGITIMES Tech News | September 2024</w:t>
      </w:r>
    </w:p>
    <w:p>
      <w:pPr>
        <w:spacing w:before="0" w:after="40" w:line="276" w:lineRule="auto"/>
      </w:pPr>
      <w:r>
        <w:rPr>
          <w:rFonts w:ascii="Arial" w:hAnsi="Arial"/>
          <w:b w:val="0"/>
          <w:i w:val="0"/>
          <w:color w:val="1F2937"/>
          <w:sz w:val="19"/>
          <w:rFonts w:ascii="Arial" w:hAnsi="Arial" w:eastAsia="Microsoft JhengHei" w:cs="Arial"/>
        </w:rPr>
        <w:t>News coverage citing GameSparcs architecture cases in generative AI and real-time database workloads.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https://www.digitimes.com.tw/tech/dt/n/shwnws.asp?id=0000704377_KI14VVDK6CQ8TB8OXC3GJ</w:t>
      </w:r>
    </w:p>
    <w:p>
      <w:pPr>
        <w:keepNext/>
        <w:spacing w:before="160" w:after="40"/>
      </w:pPr>
      <w:r>
        <w:rPr>
          <w:rFonts w:ascii="Arial" w:hAnsi="Arial"/>
          <w:b/>
          <w:i w:val="0"/>
          <w:color w:val="1E3A8A"/>
          <w:sz w:val="22"/>
          <w:rFonts w:ascii="Arial" w:hAnsi="Arial" w:eastAsia="Microsoft JhengHei" w:cs="Arial"/>
        </w:rPr>
        <w:t>4. Awards &amp; Community Leadership</w:t>
      </w:r>
    </w:p>
    <w:p>
      <w:pPr>
        <w:pStyle w:val="ListBullet"/>
        <w:spacing w:before="0" w:after="40" w:line="276" w:lineRule="auto"/>
        <w:ind w:left="317"/>
      </w:pPr>
      <w:r>
        <w:rPr>
          <w:rFonts w:ascii="Arial" w:hAnsi="Arial"/>
          <w:b w:val="0"/>
          <w:i w:val="0"/>
          <w:color w:val="1F2937"/>
          <w:sz w:val="19"/>
          <w:rFonts w:ascii="Arial" w:hAnsi="Arial" w:eastAsia="Microsoft JhengHei" w:cs="Arial"/>
        </w:rPr>
        <w:t>Cloud Architecture Excellence Award — Recognized for a GKE-based multi-cloud architecture delivering high availability, operational resilience, and approximately 30% cloud-cost optimization.</w:t>
      </w:r>
    </w:p>
    <w:p>
      <w:pPr>
        <w:pStyle w:val="ListBullet"/>
        <w:spacing w:before="0" w:after="40" w:line="276" w:lineRule="auto"/>
        <w:ind w:left="317"/>
      </w:pPr>
      <w:r>
        <w:rPr>
          <w:rFonts w:ascii="Arial" w:hAnsi="Arial"/>
          <w:b w:val="0"/>
          <w:i w:val="0"/>
          <w:color w:val="1F2937"/>
          <w:sz w:val="19"/>
          <w:rFonts w:ascii="Arial" w:hAnsi="Arial" w:eastAsia="Microsoft JhengHei" w:cs="Arial"/>
        </w:rPr>
        <w:t>Keynote speaker at cybersecurity summits, sharing practical experience in hybrid-cloud security, Zero Trust implementation, ISO 27001, ISO/IEC 42001, cybersecurity governance, and digital resilience.</w:t>
      </w:r>
    </w:p>
    <w:p>
      <w:pPr>
        <w:pStyle w:val="ListBullet"/>
        <w:spacing w:before="0" w:after="40" w:line="276" w:lineRule="auto"/>
        <w:ind w:left="317"/>
      </w:pPr>
      <w:r>
        <w:rPr>
          <w:rFonts w:ascii="Arial" w:hAnsi="Arial"/>
          <w:b w:val="0"/>
          <w:i w:val="0"/>
          <w:color w:val="1F2937"/>
          <w:sz w:val="19"/>
          <w:rFonts w:ascii="Arial" w:hAnsi="Arial" w:eastAsia="Microsoft JhengHei" w:cs="Arial"/>
        </w:rPr>
        <w:t>Invited speaker at CIO academies and technology communities on multi-cloud governance, AI governance, enterprise digital transformation, and cybersecurity strategy.</w:t>
      </w:r>
    </w:p>
    <w:p>
      <w:pPr>
        <w:keepNext/>
        <w:spacing w:before="140" w:after="20"/>
      </w:pPr>
      <w:r>
        <w:rPr>
          <w:rFonts w:ascii="Arial" w:hAnsi="Arial"/>
          <w:b/>
          <w:i w:val="0"/>
          <w:color w:val="0F2942"/>
          <w:sz w:val="21"/>
          <w:rFonts w:ascii="Arial" w:hAnsi="Arial" w:eastAsia="Microsoft JhengHei" w:cs="Arial"/>
        </w:rPr>
        <w:t>Cancer NoNo Foundation Board Member &amp; CIO</w:t>
      </w:r>
    </w:p>
    <w:p>
      <w:pPr>
        <w:keepNext/>
        <w:spacing w:before="0" w:after="40"/>
      </w:pPr>
      <w:r>
        <w:rPr>
          <w:rFonts w:ascii="Arial" w:hAnsi="Arial"/>
          <w:b/>
          <w:i w:val="0"/>
          <w:color w:val="1E3A8A"/>
          <w:sz w:val="18"/>
          <w:rFonts w:ascii="Arial" w:hAnsi="Arial" w:eastAsia="Microsoft JhengHei" w:cs="Arial"/>
        </w:rPr>
        <w:t>Cancer NoNo Foundation (CSR) | 2022 – Present</w:t>
      </w:r>
    </w:p>
    <w:p>
      <w:pPr>
        <w:spacing w:before="0" w:after="40" w:line="276" w:lineRule="auto"/>
      </w:pPr>
      <w:r>
        <w:rPr>
          <w:rFonts w:ascii="Arial" w:hAnsi="Arial"/>
          <w:b w:val="0"/>
          <w:i w:val="0"/>
          <w:color w:val="1F2937"/>
          <w:sz w:val="19"/>
          <w:rFonts w:ascii="Arial" w:hAnsi="Arial" w:eastAsia="Microsoft JhengHei" w:cs="Arial"/>
        </w:rPr>
        <w:t>Serving as Board Director and CIO, leading CSR digital initiatives, children dietary education, and secure medical IT platforms.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https://www.cancer-nono.org.tw/web/about/page.php?lang=zh_tw&amp;scid=7&amp;sid=5</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