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645920" cy="2107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2_韓系證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10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color w:val="333333"/>
          <w:sz w:val="56"/>
        </w:rPr>
        <w:t>Howard Liao Ph.D.</w:t>
      </w:r>
    </w:p>
    <w:p>
      <w:pPr>
        <w:jc w:val="left"/>
      </w:pPr>
      <w:r>
        <w:rPr>
          <w:rFonts w:ascii="Arial" w:hAnsi="Arial"/>
          <w:b/>
          <w:color w:val="F59E0B"/>
          <w:sz w:val="28"/>
        </w:rPr>
        <w:t>Chief Information / Security / Data AI Officer (CIO / CISO / CDAIO)</w:t>
      </w:r>
    </w:p>
    <w:p>
      <w:pPr>
        <w:jc w:val="left"/>
      </w:pPr>
      <w:r>
        <w:rPr>
          <w:rFonts w:ascii="Arial" w:hAnsi="Arial"/>
          <w:i/>
          <w:color w:val="333333"/>
          <w:sz w:val="22"/>
        </w:rPr>
        <w:t>Forward-Deployed AI Architecture • Player-Coach • 27 Years IT Leadership • 20 Years Executive</w:t>
      </w:r>
    </w:p>
    <w:p>
      <w:pPr>
        <w:spacing w:before="120" w:after="120"/>
        <w:pBdr>
          <w:bottom w:val="single" w:sz="24" w:space="1" w:color="F59E0B"/>
        </w:pBdr>
      </w:pPr>
    </w:p>
    <w:p>
      <w:pPr>
        <w:jc w:val="left"/>
      </w:pPr>
      <w:r>
        <w:rPr>
          <w:rFonts w:ascii="Arial" w:hAnsi="Arial"/>
          <w:b/>
          <w:color w:val="DC2626"/>
          <w:sz w:val="28"/>
        </w:rPr>
        <w:t>EXECUTIVE SUMMARY</w:t>
      </w:r>
    </w:p>
    <w:p>
      <w:pPr>
        <w:spacing w:after="240"/>
        <w:jc w:val="both"/>
      </w:pPr>
      <w:r>
        <w:rPr>
          <w:rFonts w:ascii="Arial" w:hAnsi="Arial"/>
          <w:color w:val="333333"/>
          <w:sz w:val="22"/>
        </w:rPr>
        <w:t>Cross-national technology executive with 27 years of IT leadership and 20 years of C-level governance across US, China, Taiwan, and European markets. Recognized for delivering enterprise-grade architecture, FinOps-driven cost optimization (achieving -30% TCO), zero-outage cloud-native migrations, and forward-deployed AI systems (Agentic AI / ISO 42001 / NIST AI RMF). Brings a player-coach mindset—simultaneously shaping boardroom strategy, leading global agile squads, and shipping production-grade software. PhD in Information Technology Management with SCI-indexed publications and international keynote experience (CIO Taiwan, MongoDB.local Taipei).</w:t>
      </w:r>
    </w:p>
    <w:p>
      <w:pPr>
        <w:spacing w:before="120" w:after="120"/>
        <w:pBdr>
          <w:bottom w:val="single" w:sz="8" w:space="1" w:color="F59E0B"/>
        </w:pBdr>
      </w:pPr>
    </w:p>
    <w:p>
      <w:pPr>
        <w:jc w:val="left"/>
      </w:pPr>
      <w:r>
        <w:rPr>
          <w:rFonts w:ascii="Arial" w:hAnsi="Arial"/>
          <w:b/>
          <w:color w:val="DC2626"/>
          <w:sz w:val="28"/>
        </w:rPr>
        <w:t>CORE CAPABILITIES &amp; LEADERSHIP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C262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領域 (Domain)</w:t>
            </w:r>
          </w:p>
        </w:tc>
        <w:tc>
          <w:tcPr>
            <w:tcW w:type="dxa" w:w="4703"/>
            <w:shd w:fill="DC262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核心能力與實戰成果 (Capabilities &amp; Proof Points)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3333"/>
                <w:sz w:val="20"/>
              </w:rPr>
              <w:t>Forward-Deployed AI &amp; Agents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33333"/>
                <w:sz w:val="20"/>
              </w:rPr>
              <w:t>Design and deploy autonomous agentic systems (MCP, function calling, RAG), embedding security-by-design (prompt injection defense, audit trails) from PoC to production. Real-world: Agentic AI workflow automation delivering 55% operational efficiency gain.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FinOps &amp; Cloud Cost Governance</w:t>
            </w:r>
          </w:p>
        </w:tc>
        <w:tc>
          <w:tcPr>
            <w:tcW w:type="dxa" w:w="64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Multi-cloud (GCP/AWS/Azure) cost optimization. Achieved -30% TCO through dynamic autoscaling, tagging-based chargeback, and right-sizing. Real-world: Google Cloud official global case study (GKE zero-outage migration, +100% deployment speed).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3333"/>
                <w:sz w:val="20"/>
              </w:rPr>
              <w:t>Zero Trust CISO &amp; GRC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33333"/>
                <w:sz w:val="20"/>
              </w:rPr>
              <w:t>Enterprise security governance. ISO 27001 certification, DevSecOps shift-left (SAST/DAST/SCA), Zero Trust architecture, OT/IT convergence (IEC 62443). Real-world: 30% reduction in security incidents, 85% pre-release critical vulnerability patching.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Cloud Native &amp; SRE</w:t>
            </w:r>
          </w:p>
        </w:tc>
        <w:tc>
          <w:tcPr>
            <w:tcW w:type="dxa" w:w="64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Docker, Kubernetes (GKE/EKS), Terraform, CI/CD (DevSecOps), observability (Prometheus/Graylog/Grafana). Real-world: 100% uptime in high-traffic global platforms, SOC 24/7 war room, real-time log ingestion.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3333"/>
                <w:sz w:val="20"/>
              </w:rPr>
              <w:t>Data &amp; AI Governance (CDAIO)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33333"/>
                <w:sz w:val="20"/>
              </w:rPr>
              <w:t>Data sovereignty, AI risk management (ISO 42001, NIST AI RMF), responsible AI frameworks, data pipeline architecture (MongoDB Atlas, distributed data, streaming).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Thought Leadership &amp; Executive Communication</w:t>
            </w:r>
          </w:p>
        </w:tc>
        <w:tc>
          <w:tcPr>
            <w:tcW w:type="dxa" w:w="6480"/>
            <w:shd w:fill="F5F5F5" w:val="clear"/>
          </w:tcPr>
          <w:p>
            <w:r>
              <w:rPr>
                <w:rFonts w:ascii="Arial" w:hAnsi="Arial"/>
                <w:color w:val="333333"/>
                <w:sz w:val="20"/>
              </w:rPr>
              <w:t>SCI-indexed publication (Multimedia Tools and Applications), international keynote speaker (CIO Taiwan Value Academy, MongoDB.local Taipei). PhD in IT Management. Translates complex strategy into board-ready OGSM/ROI narratives.</w:t>
            </w:r>
          </w:p>
        </w:tc>
      </w:tr>
    </w:tbl>
    <w:p/>
    <w:p>
      <w:pPr>
        <w:spacing w:before="120" w:after="120"/>
        <w:pBdr>
          <w:bottom w:val="single" w:sz="8" w:space="1" w:color="F59E0B"/>
        </w:pBdr>
      </w:pPr>
    </w:p>
    <w:p>
      <w:pPr>
        <w:jc w:val="left"/>
      </w:pPr>
      <w:r>
        <w:rPr>
          <w:rFonts w:ascii="Arial" w:hAnsi="Arial"/>
          <w:b/>
          <w:color w:val="DC2626"/>
          <w:sz w:val="28"/>
        </w:rPr>
        <w:t>LEADERSHIP MILESTONES &amp; FLAGSHIP PROJECTS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4"/>
        </w:rPr>
        <w:t>1. Google Cloud Official Global Case Study (GKE &amp; FinOps)</w:t>
      </w:r>
    </w:p>
    <w:p>
      <w:pPr>
        <w:spacing w:after="160"/>
        <w:jc w:val="both"/>
      </w:pPr>
      <w:r>
        <w:rPr>
          <w:rFonts w:ascii="Arial" w:hAnsi="Arial"/>
          <w:color w:val="333333"/>
          <w:sz w:val="20"/>
        </w:rPr>
        <w:t>Spearheaded large-scale containerization migration to Google Kubernetes Engine (GKE) combined with MongoDB Atlas fully-managed data platform. Implemented FinOps tagging-based cost allocation and dynamic autoscaling. Delivered 100% zero-outage for a global high-traffic platform. Recognized by Google Cloud as an official customer success story worldwide. Metrics: -30% TCO, +100% deployment speed, zero-downtime cutover.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4"/>
        </w:rPr>
        <w:t>2. Multi-Cloud FinOps Governance &amp; SOC 24/7 War Room</w:t>
      </w:r>
    </w:p>
    <w:p>
      <w:pPr>
        <w:spacing w:after="160"/>
        <w:jc w:val="both"/>
      </w:pPr>
      <w:r>
        <w:rPr>
          <w:rFonts w:ascii="Arial" w:hAnsi="Arial"/>
          <w:color w:val="333333"/>
          <w:sz w:val="20"/>
        </w:rPr>
        <w:t>Built a multi-cloud observability hub (Prometheus / Graylog / Grafana) integrating IT, OT, and cloud-native signals. Established a real-time SOC war room with second-level alerting and automated anomaly blocking. Delivered cross-functional 'Security Champions' program embedding security-by-design. Achieved 30% reduction in security threat incidents and second-level incident response.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4"/>
        </w:rPr>
        <w:t>3. Agentic AI Forward-Deployed System (PoC → Production)</w:t>
      </w:r>
    </w:p>
    <w:p>
      <w:pPr>
        <w:spacing w:after="160"/>
        <w:jc w:val="both"/>
      </w:pPr>
      <w:r>
        <w:rPr>
          <w:rFonts w:ascii="Arial" w:hAnsi="Arial"/>
          <w:color w:val="333333"/>
          <w:sz w:val="20"/>
        </w:rPr>
        <w:t>Led an agile, forward-deployed architecture engagement with business units to translate vague operational needs into executable AI-first blueprints. Designed an Agentic AI system (Python-based, function calling, RAG-connected private knowledge base) with prompt injection defense and data anonymization layers. Aligned with ISO 42001 and NIST AI RMF. Outcome: 55% reduction in routine maintenance ticket handling time, 100% audit-trailed AI decision paths.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4"/>
        </w:rPr>
        <w:t>4. ISO 27001 Certification &amp; DevSecOps Shift-Left</w:t>
      </w:r>
    </w:p>
    <w:p>
      <w:pPr>
        <w:spacing w:after="160"/>
        <w:jc w:val="both"/>
      </w:pPr>
      <w:r>
        <w:rPr>
          <w:rFonts w:ascii="Arial" w:hAnsi="Arial"/>
          <w:color w:val="333333"/>
          <w:sz w:val="20"/>
        </w:rPr>
        <w:t>Led enterprise-wide ISO 27001 certification program. Embedded SAST/DAST/SCA scanning into GitLab CI/CD pipelines, achieving 85% pre-release critical vulnerability patching rate. Introduced OWASP-aligned WAF, API Shield, and Tbps-level DDoS mitigation. Cross-functional 'Security Champions' program embedded security awareness across engineering squads.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4"/>
        </w:rPr>
        <w:t>5. Cross-Border Enterprise Architecture &amp; Digital Transformation</w:t>
      </w:r>
    </w:p>
    <w:p>
      <w:pPr>
        <w:spacing w:after="160"/>
        <w:jc w:val="both"/>
      </w:pPr>
      <w:r>
        <w:rPr>
          <w:rFonts w:ascii="Arial" w:hAnsi="Arial"/>
          <w:color w:val="333333"/>
          <w:sz w:val="20"/>
        </w:rPr>
        <w:t>Spanning listed entertainment &amp; tech groups and global electronics manufacturing, directed enterprise architecture decisions, SWOT/gap analysis (cost/benefit/task-completion lens), translated business strategy into technical architecture, and defined group-wide digital transformation roadmaps from day one.</w:t>
      </w:r>
    </w:p>
    <w:p>
      <w:pPr>
        <w:spacing w:before="120" w:after="120"/>
        <w:pBdr>
          <w:bottom w:val="single" w:sz="8" w:space="1" w:color="F59E0B"/>
        </w:pBdr>
      </w:pPr>
    </w:p>
    <w:p>
      <w:pPr>
        <w:jc w:val="left"/>
      </w:pPr>
      <w:r>
        <w:rPr>
          <w:rFonts w:ascii="Arial" w:hAnsi="Arial"/>
          <w:b/>
          <w:color w:val="DC2626"/>
          <w:sz w:val="28"/>
        </w:rPr>
        <w:t>ACADEMIC &amp; THOUGHT LEADERSHIP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2"/>
        </w:rPr>
        <w:t>• PhD in Information Technology Management</w:t>
      </w:r>
    </w:p>
    <w:p>
      <w:pPr>
        <w:spacing w:after="120"/>
        <w:jc w:val="both"/>
      </w:pPr>
      <w:r>
        <w:rPr>
          <w:rFonts w:ascii="Arial" w:hAnsi="Arial"/>
          <w:color w:val="333333"/>
          <w:sz w:val="20"/>
        </w:rPr>
        <w:t>朝陽科技大學 (Chaoyang University of Technology) — 資訊科技管理與治理研究。聚焦資訊安全、密碼學與組織數位轉型治理。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2"/>
        </w:rPr>
        <w:t>• SCI-Indexed Journal Publication</w:t>
      </w:r>
    </w:p>
    <w:p>
      <w:pPr>
        <w:spacing w:after="120"/>
        <w:jc w:val="both"/>
      </w:pPr>
      <w:r>
        <w:rPr>
          <w:rFonts w:ascii="Arial" w:hAnsi="Arial"/>
          <w:color w:val="333333"/>
          <w:sz w:val="20"/>
        </w:rPr>
        <w:t>《Multimedia Tools and Applications》（SCI 收錄期刊）發表高階密碼學與資訊隱寫研究論文。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2"/>
        </w:rPr>
        <w:t>• International Keynote Speaker</w:t>
      </w:r>
    </w:p>
    <w:p>
      <w:pPr>
        <w:spacing w:after="120"/>
        <w:jc w:val="both"/>
      </w:pPr>
      <w:r>
        <w:rPr>
          <w:rFonts w:ascii="Arial" w:hAnsi="Arial"/>
          <w:color w:val="333333"/>
          <w:sz w:val="20"/>
        </w:rPr>
        <w:t>• CIO Taiwan 值學院 — 擔任主題演講人，分享技術治理與數位轉型戰略。</w:t>
        <w:br/>
        <w:t>• MongoDB.local Taipei — 擔任主題演講人，演講內容涉及雲原生資料架構與全球擴展實務。</w:t>
      </w:r>
    </w:p>
    <w:p>
      <w:pPr>
        <w:spacing w:after="40"/>
        <w:jc w:val="left"/>
      </w:pPr>
      <w:r>
        <w:rPr>
          <w:rFonts w:ascii="Arial" w:hAnsi="Arial"/>
          <w:b/>
          <w:color w:val="F59E0B"/>
          <w:sz w:val="22"/>
        </w:rPr>
        <w:t>• 20+ Year Hands-On Experience</w:t>
      </w:r>
    </w:p>
    <w:p>
      <w:pPr>
        <w:spacing w:after="120"/>
        <w:jc w:val="both"/>
      </w:pPr>
      <w:r>
        <w:rPr>
          <w:rFonts w:ascii="Arial" w:hAnsi="Arial"/>
          <w:color w:val="333333"/>
          <w:sz w:val="20"/>
        </w:rPr>
        <w:t>跨國實戰橫跨美國、中國、台灣、歐洲市場，累積企業軟硬體整合、大型系統建構、資安防禦與商業策略轉譯的深厚實戰經歷。</w:t>
      </w:r>
    </w:p>
    <w:p>
      <w:pPr>
        <w:spacing w:before="120" w:after="120"/>
        <w:pBdr>
          <w:bottom w:val="single" w:sz="8" w:space="1" w:color="F59E0B"/>
        </w:pBdr>
      </w:pPr>
    </w:p>
    <w:p>
      <w:pPr>
        <w:jc w:val="left"/>
      </w:pPr>
      <w:r>
        <w:rPr>
          <w:rFonts w:ascii="Arial" w:hAnsi="Arial"/>
          <w:b/>
          <w:color w:val="DC2626"/>
          <w:sz w:val="28"/>
        </w:rPr>
        <w:t>CONTACT</w:t>
      </w:r>
    </w:p>
    <w:p>
      <w:pPr>
        <w:jc w:val="left"/>
      </w:pPr>
      <w:r>
        <w:rPr>
          <w:rFonts w:ascii="Arial" w:hAnsi="Arial"/>
          <w:color w:val="333333"/>
          <w:sz w:val="20"/>
        </w:rPr>
        <w:t>Email: Liao.Howard@gmail.com</w:t>
        <w:br/>
        <w:t>LinkedIn: https://www.linkedin.com/in/howardliao/</w:t>
        <w:br/>
        <w:t>GitHub: https://github.com/HowardLiao</w:t>
        <w:br/>
        <w:t>Portfolio: https://howardliao.github.io/portfolio/</w:t>
      </w:r>
    </w:p>
    <w:p/>
    <w:p>
      <w:pPr>
        <w:jc w:val="center"/>
      </w:pPr>
      <w:r>
        <w:rPr>
          <w:rFonts w:ascii="Arial" w:hAnsi="Arial"/>
          <w:i/>
          <w:color w:val="999999"/>
          <w:sz w:val="16"/>
        </w:rPr>
        <w:t>Author: Howard Liao Ph.D.  |  此履歷中的所有職稱與專案皆基於真實學經歷整理，不含任何 2022 年份與獎勵金數字。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