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D97706"/>
          <w:sz w:val="20"/>
        </w:rPr>
        <w:t>RSI GLOBAL ENTERPRISE · PROJECT HIVE 2027 · PHASE 1 MASTER REPORT</w:t>
      </w:r>
    </w:p>
    <w:p>
      <w:pPr>
        <w:spacing w:after="280"/>
      </w:pPr>
      <w:r>
        <w:rPr>
          <w:rFonts w:ascii="Arial" w:hAnsi="Arial"/>
          <w:b/>
          <w:color w:val="A83212"/>
          <w:sz w:val="52"/>
        </w:rPr>
        <w:t>信源全球 (RSI Group)</w:t>
        <w:br/>
        <w:t>2027 蜂巢計畫（Project Hive）</w:t>
        <w:br/>
        <w:t>第一階段顧問服務總結報告</w:t>
      </w:r>
    </w:p>
    <w:p>
      <w:pPr>
        <w:spacing w:after="800"/>
      </w:pPr>
      <w:r>
        <w:rPr>
          <w:rFonts w:ascii="Arial" w:hAnsi="Arial"/>
          <w:color w:val="1C1917"/>
          <w:sz w:val="24"/>
        </w:rPr>
        <w:t>Pillar I 數位底座與治理：跨國 API 總平台、雙軌資料湖倉、海外三廠邊緣離線自治、SCM 版控治理與 Gartner 雙層語意架構全景白皮書 (100+ 頁旗艦版)</w:t>
      </w:r>
    </w:p>
    <w:tbl>
      <w:tblPr>
        <w:tblW w:type="auto" w:w="0"/>
        <w:jc w:val="center"/>
        <w:tblLook w:firstColumn="1" w:firstRow="1" w:lastColumn="0" w:lastRow="0" w:noHBand="0" w:noVBand="1" w:val="04A0"/>
      </w:tblPr>
      <w:tblGrid>
        <w:gridCol w:w="4824"/>
        <w:gridCol w:w="4824"/>
      </w:tblGrid>
      <w:tr>
        <w:tc>
          <w:tcPr>
            <w:tcW w:type="dxa" w:w="3600"/>
            <w:shd w:fill="F5EFEB"/>
            <w:tcMar>
              <w:top w:w="80" w:type="dxa"/>
              <w:bottom w:w="80" w:type="dxa"/>
              <w:left w:w="120" w:type="dxa"/>
              <w:right w:w="120" w:type="dxa"/>
            </w:tcMar>
          </w:tcPr>
          <w:p>
            <w:r>
              <w:rPr>
                <w:b/>
                <w:color w:val="A83212"/>
                <w:sz w:val="19"/>
              </w:rPr>
              <w:t>專案代號與名稱</w:t>
            </w:r>
          </w:p>
        </w:tc>
        <w:tc>
          <w:tcPr>
            <w:tcW w:type="dxa" w:w="6192"/>
            <w:tcMar>
              <w:top w:w="80" w:type="dxa"/>
              <w:bottom w:w="80" w:type="dxa"/>
              <w:left w:w="120" w:type="dxa"/>
              <w:right w:w="120" w:type="dxa"/>
            </w:tcMar>
          </w:tcPr>
          <w:p>
            <w:r>
              <w:rPr>
                <w:sz w:val="19"/>
              </w:rPr>
              <w:t>Project Hive（蜂巢計畫）· Pillar I 數位底座與治理</w:t>
            </w:r>
          </w:p>
        </w:tc>
      </w:tr>
      <w:tr>
        <w:tc>
          <w:tcPr>
            <w:tcW w:type="dxa" w:w="3600"/>
            <w:shd w:fill="F5EFEB"/>
            <w:tcMar>
              <w:top w:w="80" w:type="dxa"/>
              <w:bottom w:w="80" w:type="dxa"/>
              <w:left w:w="120" w:type="dxa"/>
              <w:right w:w="120" w:type="dxa"/>
            </w:tcMar>
          </w:tcPr>
          <w:p>
            <w:r>
              <w:rPr>
                <w:b/>
                <w:color w:val="A83212"/>
                <w:sz w:val="19"/>
              </w:rPr>
              <w:t>計劃主持人 (Executive Sponsor)</w:t>
            </w:r>
          </w:p>
        </w:tc>
        <w:tc>
          <w:tcPr>
            <w:tcW w:type="dxa" w:w="6192"/>
            <w:tcMar>
              <w:top w:w="80" w:type="dxa"/>
              <w:bottom w:w="80" w:type="dxa"/>
              <w:left w:w="120" w:type="dxa"/>
              <w:right w:w="120" w:type="dxa"/>
            </w:tcMar>
          </w:tcPr>
          <w:p>
            <w:r>
              <w:rPr>
                <w:sz w:val="19"/>
              </w:rPr>
              <w:t>周文津 副總經理 (信源全球)</w:t>
            </w:r>
          </w:p>
        </w:tc>
      </w:tr>
      <w:tr>
        <w:tc>
          <w:tcPr>
            <w:tcW w:type="dxa" w:w="3600"/>
            <w:shd w:fill="F5EFEB"/>
            <w:tcMar>
              <w:top w:w="80" w:type="dxa"/>
              <w:bottom w:w="80" w:type="dxa"/>
              <w:left w:w="120" w:type="dxa"/>
              <w:right w:w="120" w:type="dxa"/>
            </w:tcMar>
          </w:tcPr>
          <w:p>
            <w:r>
              <w:rPr>
                <w:b/>
                <w:color w:val="A83212"/>
                <w:sz w:val="19"/>
              </w:rPr>
              <w:t>執行負責人 (Lead Architect &amp; Advisor)</w:t>
            </w:r>
          </w:p>
        </w:tc>
        <w:tc>
          <w:tcPr>
            <w:tcW w:type="dxa" w:w="6192"/>
            <w:tcMar>
              <w:top w:w="80" w:type="dxa"/>
              <w:bottom w:w="80" w:type="dxa"/>
              <w:left w:w="120" w:type="dxa"/>
              <w:right w:w="120" w:type="dxa"/>
            </w:tcMar>
          </w:tcPr>
          <w:p>
            <w:r>
              <w:rPr>
                <w:sz w:val="19"/>
              </w:rPr>
              <w:t>Howard Liao Ph.D. (外部企業架構顧問)</w:t>
            </w:r>
          </w:p>
        </w:tc>
      </w:tr>
      <w:tr>
        <w:tc>
          <w:tcPr>
            <w:tcW w:type="dxa" w:w="3600"/>
            <w:shd w:fill="F5EFEB"/>
            <w:tcMar>
              <w:top w:w="80" w:type="dxa"/>
              <w:bottom w:w="80" w:type="dxa"/>
              <w:left w:w="120" w:type="dxa"/>
              <w:right w:w="120" w:type="dxa"/>
            </w:tcMar>
          </w:tcPr>
          <w:p>
            <w:r>
              <w:rPr>
                <w:b/>
                <w:color w:val="A83212"/>
                <w:sz w:val="19"/>
              </w:rPr>
              <w:t>委任執行期間 (Phase 1 Period)</w:t>
            </w:r>
          </w:p>
        </w:tc>
        <w:tc>
          <w:tcPr>
            <w:tcW w:type="dxa" w:w="6192"/>
            <w:tcMar>
              <w:top w:w="80" w:type="dxa"/>
              <w:bottom w:w="80" w:type="dxa"/>
              <w:left w:w="120" w:type="dxa"/>
              <w:right w:w="120" w:type="dxa"/>
            </w:tcMar>
          </w:tcPr>
          <w:p>
            <w:r>
              <w:rPr>
                <w:sz w:val="19"/>
              </w:rPr>
              <w:t>2026 年 11 月 02 日 至 2027 年 01 月 29 日 (12 週 / 17 服務日)</w:t>
            </w:r>
          </w:p>
        </w:tc>
      </w:tr>
      <w:tr>
        <w:tc>
          <w:tcPr>
            <w:tcW w:type="dxa" w:w="3600"/>
            <w:shd w:fill="F5EFEB"/>
            <w:tcMar>
              <w:top w:w="80" w:type="dxa"/>
              <w:bottom w:w="80" w:type="dxa"/>
              <w:left w:w="120" w:type="dxa"/>
              <w:right w:w="120" w:type="dxa"/>
            </w:tcMar>
          </w:tcPr>
          <w:p>
            <w:r>
              <w:rPr>
                <w:b/>
                <w:color w:val="A83212"/>
                <w:sz w:val="19"/>
              </w:rPr>
              <w:t>文件編號與版次 (Document Control)</w:t>
            </w:r>
          </w:p>
        </w:tc>
        <w:tc>
          <w:tcPr>
            <w:tcW w:type="dxa" w:w="6192"/>
            <w:tcMar>
              <w:top w:w="80" w:type="dxa"/>
              <w:bottom w:w="80" w:type="dxa"/>
              <w:left w:w="120" w:type="dxa"/>
              <w:right w:w="120" w:type="dxa"/>
            </w:tcMar>
          </w:tcPr>
          <w:p>
            <w:r>
              <w:rPr>
                <w:sz w:val="19"/>
              </w:rPr>
              <w:t>RSI-HIVE-PHASE1-100P · 版次 V1.0 · 機密內部受控</w:t>
            </w:r>
          </w:p>
        </w:tc>
      </w:tr>
      <w:tr>
        <w:tc>
          <w:tcPr>
            <w:tcW w:type="dxa" w:w="3600"/>
            <w:shd w:fill="F5EFEB"/>
            <w:tcMar>
              <w:top w:w="80" w:type="dxa"/>
              <w:bottom w:w="80" w:type="dxa"/>
              <w:left w:w="120" w:type="dxa"/>
              <w:right w:w="120" w:type="dxa"/>
            </w:tcMar>
          </w:tcPr>
          <w:p>
            <w:r>
              <w:rPr>
                <w:b/>
                <w:color w:val="A83212"/>
                <w:sz w:val="19"/>
              </w:rPr>
              <w:t>交付對象 (Target Stakeholders)</w:t>
            </w:r>
          </w:p>
        </w:tc>
        <w:tc>
          <w:tcPr>
            <w:tcW w:type="dxa" w:w="6192"/>
            <w:tcMar>
              <w:top w:w="80" w:type="dxa"/>
              <w:bottom w:w="80" w:type="dxa"/>
              <w:left w:w="120" w:type="dxa"/>
              <w:right w:w="120" w:type="dxa"/>
            </w:tcMar>
          </w:tcPr>
          <w:p>
            <w:r>
              <w:rPr>
                <w:sz w:val="19"/>
              </w:rPr>
              <w:t>執行長 (CEO) 暨經營管理委員會、董事會審批存檔</w:t>
            </w:r>
          </w:p>
        </w:tc>
      </w:tr>
    </w:tbl>
    <w:p>
      <w:r>
        <w:br w:type="page"/>
      </w:r>
    </w:p>
    <w:p>
      <w:pPr>
        <w:spacing w:before="160" w:after="80"/>
      </w:pPr>
      <w:r>
        <w:rPr>
          <w:rFonts w:ascii="Arial" w:hAnsi="Arial"/>
          <w:b/>
          <w:color w:val="D97706"/>
          <w:sz w:val="22"/>
        </w:rPr>
        <w:t xml:space="preserve">【文件管制】 </w:t>
      </w:r>
      <w:r>
        <w:rPr>
          <w:rFonts w:ascii="Arial" w:hAnsi="Arial"/>
          <w:b/>
          <w:color w:val="A83212"/>
          <w:sz w:val="30"/>
        </w:rPr>
        <w:t>版本控制、修訂履歷與機密等級聲明</w:t>
      </w:r>
    </w:p>
    <w:p>
      <w:pPr>
        <w:spacing w:before="0" w:after="200"/>
      </w:pPr>
      <w:r>
        <w:rPr>
          <w:rFonts w:ascii="Arial" w:hAnsi="Arial"/>
          <w:i/>
          <w:color w:val="78716C"/>
          <w:sz w:val="19"/>
        </w:rPr>
        <w:t>Document Control, Revision History &amp; Compliance Statement</w:t>
      </w:r>
    </w:p>
    <w:p>
      <w:pPr>
        <w:spacing w:before="0" w:after="120" w:line="276" w:lineRule="auto"/>
      </w:pPr>
      <w:r>
        <w:rPr>
          <w:rFonts w:ascii="Arial" w:hAnsi="Arial"/>
          <w:color w:val="1C1917"/>
          <w:sz w:val="19"/>
        </w:rPr>
        <w:t>本報告為信源全球（RSI Group）蜂巢計畫（Project Hive）第一階段（Pillar I 數位底座與治理）之正式結案交付文件，匯整了自 2026 年 11 月 02 日啟動以來，歷經 12 週、17 個顧問服務日之所有架構審定、技術選型、機房升級、版控治理、邊緣韌性及預算收斂成果。全文受國際智慧財產權與信源全球商業機密保護規範約束。</w:t>
      </w:r>
    </w:p>
    <w:tbl>
      <w:tblPr>
        <w:tblW w:type="auto" w:w="0"/>
        <w:jc w:val="center"/>
        <w:tblLook w:firstColumn="1" w:firstRow="1" w:lastColumn="0" w:lastRow="0" w:noHBand="0" w:noVBand="1" w:val="04A0"/>
      </w:tblPr>
      <w:tblGrid>
        <w:gridCol w:w="1930"/>
        <w:gridCol w:w="1930"/>
        <w:gridCol w:w="1930"/>
        <w:gridCol w:w="1930"/>
        <w:gridCol w:w="1930"/>
      </w:tblGrid>
      <w:tr>
        <w:tc>
          <w:tcPr>
            <w:tcW w:type="dxa" w:w="1152"/>
            <w:shd w:fill="F5EFEB"/>
            <w:tcMar>
              <w:top w:w="80" w:type="dxa"/>
              <w:bottom w:w="80" w:type="dxa"/>
              <w:left w:w="100" w:type="dxa"/>
              <w:right w:w="100" w:type="dxa"/>
            </w:tcMar>
          </w:tcPr>
          <w:p>
            <w:r>
              <w:rPr>
                <w:rFonts w:ascii="Arial" w:hAnsi="Arial"/>
                <w:b/>
                <w:color w:val="A83212"/>
                <w:sz w:val="17"/>
              </w:rPr>
              <w:t>版次</w:t>
            </w:r>
          </w:p>
        </w:tc>
        <w:tc>
          <w:tcPr>
            <w:tcW w:type="dxa" w:w="1584"/>
            <w:shd w:fill="F5EFEB"/>
            <w:tcMar>
              <w:top w:w="80" w:type="dxa"/>
              <w:bottom w:w="80" w:type="dxa"/>
              <w:left w:w="100" w:type="dxa"/>
              <w:right w:w="100" w:type="dxa"/>
            </w:tcMar>
          </w:tcPr>
          <w:p>
            <w:r>
              <w:rPr>
                <w:rFonts w:ascii="Arial" w:hAnsi="Arial"/>
                <w:b/>
                <w:color w:val="A83212"/>
                <w:sz w:val="17"/>
              </w:rPr>
              <w:t>修訂日期</w:t>
            </w:r>
          </w:p>
        </w:tc>
        <w:tc>
          <w:tcPr>
            <w:tcW w:type="dxa" w:w="4608"/>
            <w:shd w:fill="F5EFEB"/>
            <w:tcMar>
              <w:top w:w="80" w:type="dxa"/>
              <w:bottom w:w="80" w:type="dxa"/>
              <w:left w:w="100" w:type="dxa"/>
              <w:right w:w="100" w:type="dxa"/>
            </w:tcMar>
          </w:tcPr>
          <w:p>
            <w:r>
              <w:rPr>
                <w:rFonts w:ascii="Arial" w:hAnsi="Arial"/>
                <w:b/>
                <w:color w:val="A83212"/>
                <w:sz w:val="17"/>
              </w:rPr>
              <w:t>主要修訂內容與里程碑進展</w:t>
            </w:r>
          </w:p>
        </w:tc>
        <w:tc>
          <w:tcPr>
            <w:tcW w:type="dxa" w:w="2448"/>
            <w:shd w:fill="F5EFEB"/>
            <w:tcMar>
              <w:top w:w="80" w:type="dxa"/>
              <w:bottom w:w="80" w:type="dxa"/>
              <w:left w:w="100" w:type="dxa"/>
              <w:right w:w="100" w:type="dxa"/>
            </w:tcMar>
          </w:tcPr>
          <w:p>
            <w:r>
              <w:rPr>
                <w:rFonts w:ascii="Arial" w:hAnsi="Arial"/>
                <w:b/>
                <w:color w:val="A83212"/>
                <w:sz w:val="17"/>
              </w:rPr>
              <w:t>編制 / 審核人</w:t>
            </w:r>
          </w:p>
        </w:tc>
        <w:tc>
          <w:tcPr>
            <w:tcW w:type="dxa" w:w="1440"/>
            <w:shd w:fill="F5EFEB"/>
            <w:tcMar>
              <w:top w:w="80" w:type="dxa"/>
              <w:bottom w:w="80" w:type="dxa"/>
              <w:left w:w="100" w:type="dxa"/>
              <w:right w:w="100" w:type="dxa"/>
            </w:tcMar>
          </w:tcPr>
          <w:p>
            <w:r>
              <w:rPr>
                <w:rFonts w:ascii="Arial" w:hAnsi="Arial"/>
                <w:b/>
                <w:color w:val="A83212"/>
                <w:sz w:val="17"/>
              </w:rPr>
              <w:t>核決狀態</w:t>
            </w:r>
          </w:p>
        </w:tc>
      </w:tr>
      <w:tr>
        <w:tc>
          <w:tcPr>
            <w:tcW w:type="dxa" w:w="1152"/>
            <w:shd w:fill="FFFFFF"/>
            <w:tcMar>
              <w:top w:w="60" w:type="dxa"/>
              <w:bottom w:w="60" w:type="dxa"/>
              <w:left w:w="100" w:type="dxa"/>
              <w:right w:w="100" w:type="dxa"/>
            </w:tcMar>
          </w:tcPr>
          <w:p>
            <w:r>
              <w:rPr>
                <w:rFonts w:ascii="Arial" w:hAnsi="Arial"/>
                <w:color w:val="1C1917"/>
                <w:sz w:val="16"/>
              </w:rPr>
              <w:t>V0.1</w:t>
            </w:r>
          </w:p>
        </w:tc>
        <w:tc>
          <w:tcPr>
            <w:tcW w:type="dxa" w:w="1584"/>
            <w:shd w:fill="FFFFFF"/>
            <w:tcMar>
              <w:top w:w="60" w:type="dxa"/>
              <w:bottom w:w="60" w:type="dxa"/>
              <w:left w:w="100" w:type="dxa"/>
              <w:right w:w="100" w:type="dxa"/>
            </w:tcMar>
          </w:tcPr>
          <w:p>
            <w:r>
              <w:rPr>
                <w:rFonts w:ascii="Arial" w:hAnsi="Arial"/>
                <w:color w:val="1C1917"/>
                <w:sz w:val="16"/>
              </w:rPr>
              <w:t>2026/11/02</w:t>
            </w:r>
          </w:p>
        </w:tc>
        <w:tc>
          <w:tcPr>
            <w:tcW w:type="dxa" w:w="4608"/>
            <w:shd w:fill="FFFFFF"/>
            <w:tcMar>
              <w:top w:w="60" w:type="dxa"/>
              <w:bottom w:w="60" w:type="dxa"/>
              <w:left w:w="100" w:type="dxa"/>
              <w:right w:w="100" w:type="dxa"/>
            </w:tcMar>
          </w:tcPr>
          <w:p>
            <w:r>
              <w:rPr>
                <w:rFonts w:ascii="Arial" w:hAnsi="Arial"/>
                <w:color w:val="1C1917"/>
                <w:sz w:val="16"/>
              </w:rPr>
              <w:t>初稿建立：專案啟動、組織職能現況盤點與 WBS 甘特圖基準建立</w:t>
            </w:r>
          </w:p>
        </w:tc>
        <w:tc>
          <w:tcPr>
            <w:tcW w:type="dxa" w:w="2448"/>
            <w:shd w:fill="FFFFFF"/>
            <w:tcMar>
              <w:top w:w="60" w:type="dxa"/>
              <w:bottom w:w="60" w:type="dxa"/>
              <w:left w:w="100" w:type="dxa"/>
              <w:right w:w="100" w:type="dxa"/>
            </w:tcMar>
          </w:tcPr>
          <w:p>
            <w:r>
              <w:rPr>
                <w:rFonts w:ascii="Arial" w:hAnsi="Arial"/>
                <w:color w:val="1C1917"/>
                <w:sz w:val="16"/>
              </w:rPr>
              <w:t>Howard Liao Ph.D.</w:t>
            </w:r>
          </w:p>
        </w:tc>
        <w:tc>
          <w:tcPr>
            <w:tcW w:type="dxa" w:w="1440"/>
            <w:shd w:fill="FFFFFF"/>
            <w:tcMar>
              <w:top w:w="60" w:type="dxa"/>
              <w:bottom w:w="60" w:type="dxa"/>
              <w:left w:w="100" w:type="dxa"/>
              <w:right w:w="100" w:type="dxa"/>
            </w:tcMar>
          </w:tcPr>
          <w:p>
            <w:r>
              <w:rPr>
                <w:rFonts w:ascii="Arial" w:hAnsi="Arial"/>
                <w:color w:val="1C1917"/>
                <w:sz w:val="16"/>
              </w:rPr>
              <w:t>專案組備查</w:t>
            </w:r>
          </w:p>
        </w:tc>
      </w:tr>
      <w:tr>
        <w:tc>
          <w:tcPr>
            <w:tcW w:type="dxa" w:w="1152"/>
            <w:shd w:fill="FAFAF9"/>
            <w:tcMar>
              <w:top w:w="60" w:type="dxa"/>
              <w:bottom w:w="60" w:type="dxa"/>
              <w:left w:w="100" w:type="dxa"/>
              <w:right w:w="100" w:type="dxa"/>
            </w:tcMar>
          </w:tcPr>
          <w:p>
            <w:r>
              <w:rPr>
                <w:rFonts w:ascii="Arial" w:hAnsi="Arial"/>
                <w:color w:val="1C1917"/>
                <w:sz w:val="16"/>
              </w:rPr>
              <w:t>V0.5</w:t>
            </w:r>
          </w:p>
        </w:tc>
        <w:tc>
          <w:tcPr>
            <w:tcW w:type="dxa" w:w="1584"/>
            <w:shd w:fill="FAFAF9"/>
            <w:tcMar>
              <w:top w:w="60" w:type="dxa"/>
              <w:bottom w:w="60" w:type="dxa"/>
              <w:left w:w="100" w:type="dxa"/>
              <w:right w:w="100" w:type="dxa"/>
            </w:tcMar>
          </w:tcPr>
          <w:p>
            <w:r>
              <w:rPr>
                <w:rFonts w:ascii="Arial" w:hAnsi="Arial"/>
                <w:color w:val="1C1917"/>
                <w:sz w:val="16"/>
              </w:rPr>
              <w:t>2026/12/07</w:t>
            </w:r>
          </w:p>
        </w:tc>
        <w:tc>
          <w:tcPr>
            <w:tcW w:type="dxa" w:w="4608"/>
            <w:shd w:fill="FAFAF9"/>
            <w:tcMar>
              <w:top w:w="60" w:type="dxa"/>
              <w:bottom w:w="60" w:type="dxa"/>
              <w:left w:w="100" w:type="dxa"/>
              <w:right w:w="100" w:type="dxa"/>
            </w:tcMar>
          </w:tcPr>
          <w:p>
            <w:r>
              <w:rPr>
                <w:rFonts w:ascii="Arial" w:hAnsi="Arial"/>
                <w:color w:val="1C1917"/>
                <w:sz w:val="16"/>
              </w:rPr>
              <w:t>中期審查 (M1)：完成機房 85 萬 25G 網路升級核定與 D365 整合方案</w:t>
            </w:r>
          </w:p>
        </w:tc>
        <w:tc>
          <w:tcPr>
            <w:tcW w:type="dxa" w:w="2448"/>
            <w:shd w:fill="FAFAF9"/>
            <w:tcMar>
              <w:top w:w="60" w:type="dxa"/>
              <w:bottom w:w="60" w:type="dxa"/>
              <w:left w:w="100" w:type="dxa"/>
              <w:right w:w="100" w:type="dxa"/>
            </w:tcMar>
          </w:tcPr>
          <w:p>
            <w:r>
              <w:rPr>
                <w:rFonts w:ascii="Arial" w:hAnsi="Arial"/>
                <w:color w:val="1C1917"/>
                <w:sz w:val="16"/>
              </w:rPr>
              <w:t>Howard Liao Ph.D.</w:t>
            </w:r>
          </w:p>
        </w:tc>
        <w:tc>
          <w:tcPr>
            <w:tcW w:type="dxa" w:w="1440"/>
            <w:shd w:fill="FAFAF9"/>
            <w:tcMar>
              <w:top w:w="60" w:type="dxa"/>
              <w:bottom w:w="60" w:type="dxa"/>
              <w:left w:w="100" w:type="dxa"/>
              <w:right w:w="100" w:type="dxa"/>
            </w:tcMar>
          </w:tcPr>
          <w:p>
            <w:r>
              <w:rPr>
                <w:rFonts w:ascii="Arial" w:hAnsi="Arial"/>
                <w:color w:val="1C1917"/>
                <w:sz w:val="16"/>
              </w:rPr>
              <w:t>周副總初審</w:t>
            </w:r>
          </w:p>
        </w:tc>
      </w:tr>
      <w:tr>
        <w:tc>
          <w:tcPr>
            <w:tcW w:type="dxa" w:w="1152"/>
            <w:shd w:fill="FFFFFF"/>
            <w:tcMar>
              <w:top w:w="60" w:type="dxa"/>
              <w:bottom w:w="60" w:type="dxa"/>
              <w:left w:w="100" w:type="dxa"/>
              <w:right w:w="100" w:type="dxa"/>
            </w:tcMar>
          </w:tcPr>
          <w:p>
            <w:r>
              <w:rPr>
                <w:rFonts w:ascii="Arial" w:hAnsi="Arial"/>
                <w:color w:val="1C1917"/>
                <w:sz w:val="16"/>
              </w:rPr>
              <w:t>V0.8</w:t>
            </w:r>
          </w:p>
        </w:tc>
        <w:tc>
          <w:tcPr>
            <w:tcW w:type="dxa" w:w="1584"/>
            <w:shd w:fill="FFFFFF"/>
            <w:tcMar>
              <w:top w:w="60" w:type="dxa"/>
              <w:bottom w:w="60" w:type="dxa"/>
              <w:left w:w="100" w:type="dxa"/>
              <w:right w:w="100" w:type="dxa"/>
            </w:tcMar>
          </w:tcPr>
          <w:p>
            <w:r>
              <w:rPr>
                <w:rFonts w:ascii="Arial" w:hAnsi="Arial"/>
                <w:color w:val="1C1917"/>
                <w:sz w:val="16"/>
              </w:rPr>
              <w:t>2027/01/11</w:t>
            </w:r>
          </w:p>
        </w:tc>
        <w:tc>
          <w:tcPr>
            <w:tcW w:type="dxa" w:w="4608"/>
            <w:shd w:fill="FFFFFF"/>
            <w:tcMar>
              <w:top w:w="60" w:type="dxa"/>
              <w:bottom w:w="60" w:type="dxa"/>
              <w:left w:w="100" w:type="dxa"/>
              <w:right w:w="100" w:type="dxa"/>
            </w:tcMar>
          </w:tcPr>
          <w:p>
            <w:r>
              <w:rPr>
                <w:rFonts w:ascii="Arial" w:hAnsi="Arial"/>
                <w:color w:val="1C1917"/>
                <w:sz w:val="16"/>
              </w:rPr>
              <w:t>架構深化：納入 Gartner 2026 雙層語意層、ASUS GX10 邊緣部署手冊</w:t>
            </w:r>
          </w:p>
        </w:tc>
        <w:tc>
          <w:tcPr>
            <w:tcW w:type="dxa" w:w="2448"/>
            <w:shd w:fill="FFFFFF"/>
            <w:tcMar>
              <w:top w:w="60" w:type="dxa"/>
              <w:bottom w:w="60" w:type="dxa"/>
              <w:left w:w="100" w:type="dxa"/>
              <w:right w:w="100" w:type="dxa"/>
            </w:tcMar>
          </w:tcPr>
          <w:p>
            <w:r>
              <w:rPr>
                <w:rFonts w:ascii="Arial" w:hAnsi="Arial"/>
                <w:color w:val="1C1917"/>
                <w:sz w:val="16"/>
              </w:rPr>
              <w:t>Howard Liao Ph.D.</w:t>
            </w:r>
          </w:p>
        </w:tc>
        <w:tc>
          <w:tcPr>
            <w:tcW w:type="dxa" w:w="1440"/>
            <w:shd w:fill="FFFFFF"/>
            <w:tcMar>
              <w:top w:w="60" w:type="dxa"/>
              <w:bottom w:w="60" w:type="dxa"/>
              <w:left w:w="100" w:type="dxa"/>
              <w:right w:w="100" w:type="dxa"/>
            </w:tcMar>
          </w:tcPr>
          <w:p>
            <w:r>
              <w:rPr>
                <w:rFonts w:ascii="Arial" w:hAnsi="Arial"/>
                <w:color w:val="1C1917"/>
                <w:sz w:val="16"/>
              </w:rPr>
              <w:t>技術主管複審</w:t>
            </w:r>
          </w:p>
        </w:tc>
      </w:tr>
      <w:tr>
        <w:tc>
          <w:tcPr>
            <w:tcW w:type="dxa" w:w="1152"/>
            <w:shd w:fill="FAFAF9"/>
            <w:tcMar>
              <w:top w:w="60" w:type="dxa"/>
              <w:bottom w:w="60" w:type="dxa"/>
              <w:left w:w="100" w:type="dxa"/>
              <w:right w:w="100" w:type="dxa"/>
            </w:tcMar>
          </w:tcPr>
          <w:p>
            <w:r>
              <w:rPr>
                <w:rFonts w:ascii="Arial" w:hAnsi="Arial"/>
                <w:color w:val="1C1917"/>
                <w:sz w:val="16"/>
              </w:rPr>
              <w:t>V1.0</w:t>
            </w:r>
          </w:p>
        </w:tc>
        <w:tc>
          <w:tcPr>
            <w:tcW w:type="dxa" w:w="1584"/>
            <w:shd w:fill="FAFAF9"/>
            <w:tcMar>
              <w:top w:w="60" w:type="dxa"/>
              <w:bottom w:w="60" w:type="dxa"/>
              <w:left w:w="100" w:type="dxa"/>
              <w:right w:w="100" w:type="dxa"/>
            </w:tcMar>
          </w:tcPr>
          <w:p>
            <w:r>
              <w:rPr>
                <w:rFonts w:ascii="Arial" w:hAnsi="Arial"/>
                <w:color w:val="1C1917"/>
                <w:sz w:val="16"/>
              </w:rPr>
              <w:t>2027/01/29</w:t>
            </w:r>
          </w:p>
        </w:tc>
        <w:tc>
          <w:tcPr>
            <w:tcW w:type="dxa" w:w="4608"/>
            <w:shd w:fill="FAFAF9"/>
            <w:tcMar>
              <w:top w:w="60" w:type="dxa"/>
              <w:bottom w:w="60" w:type="dxa"/>
              <w:left w:w="100" w:type="dxa"/>
              <w:right w:w="100" w:type="dxa"/>
            </w:tcMar>
          </w:tcPr>
          <w:p>
            <w:r>
              <w:rPr>
                <w:rFonts w:ascii="Arial" w:hAnsi="Arial"/>
                <w:color w:val="1C1917"/>
                <w:sz w:val="16"/>
              </w:rPr>
              <w:t>正式結案：100 頁總結報告定稿，呈報副總經理與董事會核決簽署</w:t>
            </w:r>
          </w:p>
        </w:tc>
        <w:tc>
          <w:tcPr>
            <w:tcW w:type="dxa" w:w="2448"/>
            <w:shd w:fill="FAFAF9"/>
            <w:tcMar>
              <w:top w:w="60" w:type="dxa"/>
              <w:bottom w:w="60" w:type="dxa"/>
              <w:left w:w="100" w:type="dxa"/>
              <w:right w:w="100" w:type="dxa"/>
            </w:tcMar>
          </w:tcPr>
          <w:p>
            <w:r>
              <w:rPr>
                <w:rFonts w:ascii="Arial" w:hAnsi="Arial"/>
                <w:color w:val="1C1917"/>
                <w:sz w:val="16"/>
              </w:rPr>
              <w:t>Howard Liao Ph.D.</w:t>
            </w:r>
          </w:p>
        </w:tc>
        <w:tc>
          <w:tcPr>
            <w:tcW w:type="dxa" w:w="1440"/>
            <w:shd w:fill="FAFAF9"/>
            <w:tcMar>
              <w:top w:w="60" w:type="dxa"/>
              <w:bottom w:w="60" w:type="dxa"/>
              <w:left w:w="100" w:type="dxa"/>
              <w:right w:w="100" w:type="dxa"/>
            </w:tcMar>
          </w:tcPr>
          <w:p>
            <w:r>
              <w:rPr>
                <w:rFonts w:ascii="Arial" w:hAnsi="Arial"/>
                <w:color w:val="1C1917"/>
                <w:sz w:val="16"/>
              </w:rPr>
              <w:t>正式核定 (Approved)</w:t>
            </w:r>
          </w:p>
        </w:tc>
      </w:tr>
    </w:tbl>
    <w:p>
      <w:pPr>
        <w:spacing w:after="80"/>
      </w:pP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【機密等級與智財保護聲明】</w:t>
              <w:br/>
            </w:r>
            <w:r>
              <w:rPr>
                <w:rFonts w:ascii="Arial" w:hAnsi="Arial"/>
                <w:color w:val="1C1917"/>
                <w:sz w:val="18"/>
              </w:rPr>
              <w:t>1. 本文件列為信源全球『極機密（Strictly Confidential）』級別，未經計劃主持人周文津副總經理書面授權，嚴禁複印、節錄或外流。</w:t>
              <w:br/>
              <w:t>2. 文件中所載之 C# .NET 8 架構規格、MS SQL AlwaysOn CDC 異動管線、4-Gate 產前門禁策略模式代碼及海外三廠邊緣離線自治演算法，為信源集團專屬資產。</w:t>
              <w:br/>
              <w:t>3. 全文各章節數據與排程皆以實體伺服器測試數據與正式會談紀錄為準，具備外部審計稽核效力。</w:t>
            </w:r>
          </w:p>
        </w:tc>
      </w:tr>
    </w:tbl>
    <w:p>
      <w:pPr>
        <w:spacing w:after="80"/>
      </w:pPr>
    </w:p>
    <w:p>
      <w:r>
        <w:br w:type="page"/>
      </w:r>
    </w:p>
    <w:p>
      <w:pPr>
        <w:spacing w:before="160" w:after="80"/>
      </w:pPr>
      <w:r>
        <w:rPr>
          <w:rFonts w:ascii="Arial" w:hAnsi="Arial"/>
          <w:b/>
          <w:color w:val="D97706"/>
          <w:sz w:val="22"/>
        </w:rPr>
        <w:t xml:space="preserve">【管理授權】 </w:t>
      </w:r>
      <w:r>
        <w:rPr>
          <w:rFonts w:ascii="Arial" w:hAnsi="Arial"/>
          <w:b/>
          <w:color w:val="A83212"/>
          <w:sz w:val="30"/>
        </w:rPr>
        <w:t>高階經營委員會核准與專案權責分工表</w:t>
      </w:r>
    </w:p>
    <w:p>
      <w:pPr>
        <w:spacing w:before="0" w:after="200"/>
      </w:pPr>
      <w:r>
        <w:rPr>
          <w:rFonts w:ascii="Arial" w:hAnsi="Arial"/>
          <w:i/>
          <w:color w:val="78716C"/>
          <w:sz w:val="19"/>
        </w:rPr>
        <w:t>Executive Governance, Sign-off &amp; Authority Matrix (DOA)</w:t>
      </w:r>
    </w:p>
    <w:p>
      <w:pPr>
        <w:spacing w:before="0" w:after="120" w:line="276" w:lineRule="auto"/>
      </w:pPr>
      <w:r>
        <w:rPr>
          <w:rFonts w:ascii="Arial" w:hAnsi="Arial"/>
          <w:color w:val="1C1917"/>
          <w:sz w:val="19"/>
        </w:rPr>
        <w:t>蜂巢計畫第一階段之成功推展，仰賴高階管理層之堅實領導與外部顧問之嚴謹架構把關。為確立架構藍圖之法律與組織效力，特立本頁作為權責劃分與正式成果核決之依據。</w:t>
      </w:r>
    </w:p>
    <w:tbl>
      <w:tblPr>
        <w:tblW w:type="auto" w:w="0"/>
        <w:jc w:val="center"/>
        <w:tblLook w:firstColumn="1" w:firstRow="1" w:lastColumn="0" w:lastRow="0" w:noHBand="0" w:noVBand="1" w:val="04A0"/>
      </w:tblPr>
      <w:tblGrid>
        <w:gridCol w:w="2412"/>
        <w:gridCol w:w="2412"/>
        <w:gridCol w:w="2412"/>
        <w:gridCol w:w="2412"/>
      </w:tblGrid>
      <w:tr>
        <w:tc>
          <w:tcPr>
            <w:tcW w:type="dxa" w:w="2160"/>
            <w:shd w:fill="F5EFEB"/>
            <w:tcMar>
              <w:top w:w="80" w:type="dxa"/>
              <w:bottom w:w="80" w:type="dxa"/>
              <w:left w:w="100" w:type="dxa"/>
              <w:right w:w="100" w:type="dxa"/>
            </w:tcMar>
          </w:tcPr>
          <w:p>
            <w:r>
              <w:rPr>
                <w:rFonts w:ascii="Arial" w:hAnsi="Arial"/>
                <w:b/>
                <w:color w:val="A83212"/>
                <w:sz w:val="17"/>
              </w:rPr>
              <w:t>治理角色</w:t>
            </w:r>
          </w:p>
        </w:tc>
        <w:tc>
          <w:tcPr>
            <w:tcW w:type="dxa" w:w="2304"/>
            <w:shd w:fill="F5EFEB"/>
            <w:tcMar>
              <w:top w:w="80" w:type="dxa"/>
              <w:bottom w:w="80" w:type="dxa"/>
              <w:left w:w="100" w:type="dxa"/>
              <w:right w:w="100" w:type="dxa"/>
            </w:tcMar>
          </w:tcPr>
          <w:p>
            <w:r>
              <w:rPr>
                <w:rFonts w:ascii="Arial" w:hAnsi="Arial"/>
                <w:b/>
                <w:color w:val="A83212"/>
                <w:sz w:val="17"/>
              </w:rPr>
              <w:t>擔任人員 / 職銜</w:t>
            </w:r>
          </w:p>
        </w:tc>
        <w:tc>
          <w:tcPr>
            <w:tcW w:type="dxa" w:w="3744"/>
            <w:shd w:fill="F5EFEB"/>
            <w:tcMar>
              <w:top w:w="80" w:type="dxa"/>
              <w:bottom w:w="80" w:type="dxa"/>
              <w:left w:w="100" w:type="dxa"/>
              <w:right w:w="100" w:type="dxa"/>
            </w:tcMar>
          </w:tcPr>
          <w:p>
            <w:r>
              <w:rPr>
                <w:rFonts w:ascii="Arial" w:hAnsi="Arial"/>
                <w:b/>
                <w:color w:val="A83212"/>
                <w:sz w:val="17"/>
              </w:rPr>
              <w:t>在專案中之核心決策與執行權責</w:t>
            </w:r>
          </w:p>
        </w:tc>
        <w:tc>
          <w:tcPr>
            <w:tcW w:type="dxa" w:w="2592"/>
            <w:shd w:fill="F5EFEB"/>
            <w:tcMar>
              <w:top w:w="80" w:type="dxa"/>
              <w:bottom w:w="80" w:type="dxa"/>
              <w:left w:w="100" w:type="dxa"/>
              <w:right w:w="100" w:type="dxa"/>
            </w:tcMar>
          </w:tcPr>
          <w:p>
            <w:r>
              <w:rPr>
                <w:rFonts w:ascii="Arial" w:hAnsi="Arial"/>
                <w:b/>
                <w:color w:val="A83212"/>
                <w:sz w:val="17"/>
              </w:rPr>
              <w:t>核決簽署</w:t>
            </w:r>
          </w:p>
        </w:tc>
      </w:tr>
      <w:tr>
        <w:tc>
          <w:tcPr>
            <w:tcW w:type="dxa" w:w="2160"/>
            <w:shd w:fill="FFFFFF"/>
            <w:tcMar>
              <w:top w:w="60" w:type="dxa"/>
              <w:bottom w:w="60" w:type="dxa"/>
              <w:left w:w="100" w:type="dxa"/>
              <w:right w:w="100" w:type="dxa"/>
            </w:tcMar>
          </w:tcPr>
          <w:p>
            <w:r>
              <w:rPr>
                <w:rFonts w:ascii="Arial" w:hAnsi="Arial"/>
                <w:color w:val="1C1917"/>
                <w:sz w:val="16"/>
              </w:rPr>
              <w:t>計劃主持人</w:t>
              <w:br/>
              <w:t>(Executive Sponsor)</w:t>
            </w:r>
          </w:p>
        </w:tc>
        <w:tc>
          <w:tcPr>
            <w:tcW w:type="dxa" w:w="2304"/>
            <w:shd w:fill="FFFFFF"/>
            <w:tcMar>
              <w:top w:w="60" w:type="dxa"/>
              <w:bottom w:w="60" w:type="dxa"/>
              <w:left w:w="100" w:type="dxa"/>
              <w:right w:w="100" w:type="dxa"/>
            </w:tcMar>
          </w:tcPr>
          <w:p>
            <w:r>
              <w:rPr>
                <w:rFonts w:ascii="Arial" w:hAnsi="Arial"/>
                <w:color w:val="1C1917"/>
                <w:sz w:val="16"/>
              </w:rPr>
              <w:t>周文津 副總經理</w:t>
              <w:br/>
              <w:t>(信源全球)</w:t>
            </w:r>
          </w:p>
        </w:tc>
        <w:tc>
          <w:tcPr>
            <w:tcW w:type="dxa" w:w="3744"/>
            <w:shd w:fill="FFFFFF"/>
            <w:tcMar>
              <w:top w:w="60" w:type="dxa"/>
              <w:bottom w:w="60" w:type="dxa"/>
              <w:left w:w="100" w:type="dxa"/>
              <w:right w:w="100" w:type="dxa"/>
            </w:tcMar>
          </w:tcPr>
          <w:p>
            <w:r>
              <w:rPr>
                <w:rFonts w:ascii="Arial" w:hAnsi="Arial"/>
                <w:color w:val="1C1917"/>
                <w:sz w:val="16"/>
              </w:rPr>
              <w:t>• 總體戰略目標與資本預算拍板</w:t>
              <w:br/>
              <w:t>• 跨國廠區行政調度與組織資源指派</w:t>
              <w:br/>
              <w:t>• 外部 SI 廠商合約與階段驗收核決</w:t>
            </w:r>
          </w:p>
        </w:tc>
        <w:tc>
          <w:tcPr>
            <w:tcW w:type="dxa" w:w="2592"/>
            <w:shd w:fill="FFFFFF"/>
            <w:tcMar>
              <w:top w:w="60" w:type="dxa"/>
              <w:bottom w:w="60" w:type="dxa"/>
              <w:left w:w="100" w:type="dxa"/>
              <w:right w:w="100" w:type="dxa"/>
            </w:tcMar>
          </w:tcPr>
          <w:p>
            <w:r>
              <w:rPr>
                <w:rFonts w:ascii="Arial" w:hAnsi="Arial"/>
                <w:color w:val="1C1917"/>
                <w:sz w:val="16"/>
              </w:rPr>
              <w:t>簽名：_________________</w:t>
              <w:br/>
              <w:t>日期：2027 年 01 月 29 日</w:t>
            </w:r>
          </w:p>
        </w:tc>
      </w:tr>
      <w:tr>
        <w:tc>
          <w:tcPr>
            <w:tcW w:type="dxa" w:w="2160"/>
            <w:shd w:fill="FAFAF9"/>
            <w:tcMar>
              <w:top w:w="60" w:type="dxa"/>
              <w:bottom w:w="60" w:type="dxa"/>
              <w:left w:w="100" w:type="dxa"/>
              <w:right w:w="100" w:type="dxa"/>
            </w:tcMar>
          </w:tcPr>
          <w:p>
            <w:r>
              <w:rPr>
                <w:rFonts w:ascii="Arial" w:hAnsi="Arial"/>
                <w:color w:val="1C1917"/>
                <w:sz w:val="16"/>
              </w:rPr>
              <w:t>執行負責人</w:t>
              <w:br/>
              <w:t>(Lead Architect)</w:t>
            </w:r>
          </w:p>
        </w:tc>
        <w:tc>
          <w:tcPr>
            <w:tcW w:type="dxa" w:w="2304"/>
            <w:shd w:fill="FAFAF9"/>
            <w:tcMar>
              <w:top w:w="60" w:type="dxa"/>
              <w:bottom w:w="60" w:type="dxa"/>
              <w:left w:w="100" w:type="dxa"/>
              <w:right w:w="100" w:type="dxa"/>
            </w:tcMar>
          </w:tcPr>
          <w:p>
            <w:r>
              <w:rPr>
                <w:rFonts w:ascii="Arial" w:hAnsi="Arial"/>
                <w:color w:val="1C1917"/>
                <w:sz w:val="16"/>
              </w:rPr>
              <w:t>Howard Liao Ph.D.</w:t>
              <w:br/>
              <w:t>(外部企業架構顧問)</w:t>
            </w:r>
          </w:p>
        </w:tc>
        <w:tc>
          <w:tcPr>
            <w:tcW w:type="dxa" w:w="3744"/>
            <w:shd w:fill="FAFAF9"/>
            <w:tcMar>
              <w:top w:w="60" w:type="dxa"/>
              <w:bottom w:w="60" w:type="dxa"/>
              <w:left w:w="100" w:type="dxa"/>
              <w:right w:w="100" w:type="dxa"/>
            </w:tcMar>
          </w:tcPr>
          <w:p>
            <w:r>
              <w:rPr>
                <w:rFonts w:ascii="Arial" w:hAnsi="Arial"/>
                <w:color w:val="1C1917"/>
                <w:sz w:val="16"/>
              </w:rPr>
              <w:t>• 全案技術架構標準與品質規範制定</w:t>
              <w:br/>
              <w:t>• 5 大系統體檢與 SCM 版控收斂規劃</w:t>
              <w:br/>
              <w:t>• 48~72h 邊緣自治演算法與 AI 治理指導</w:t>
            </w:r>
          </w:p>
        </w:tc>
        <w:tc>
          <w:tcPr>
            <w:tcW w:type="dxa" w:w="2592"/>
            <w:shd w:fill="FAFAF9"/>
            <w:tcMar>
              <w:top w:w="60" w:type="dxa"/>
              <w:bottom w:w="60" w:type="dxa"/>
              <w:left w:w="100" w:type="dxa"/>
              <w:right w:w="100" w:type="dxa"/>
            </w:tcMar>
          </w:tcPr>
          <w:p>
            <w:r>
              <w:rPr>
                <w:rFonts w:ascii="Arial" w:hAnsi="Arial"/>
                <w:color w:val="1C1917"/>
                <w:sz w:val="16"/>
              </w:rPr>
              <w:t>簽名：_________________</w:t>
              <w:br/>
              <w:t>日期：2027 年 01 月 29 日</w:t>
            </w:r>
          </w:p>
        </w:tc>
      </w:tr>
      <w:tr>
        <w:tc>
          <w:tcPr>
            <w:tcW w:type="dxa" w:w="2160"/>
            <w:shd w:fill="FFFFFF"/>
            <w:tcMar>
              <w:top w:w="60" w:type="dxa"/>
              <w:bottom w:w="60" w:type="dxa"/>
              <w:left w:w="100" w:type="dxa"/>
              <w:right w:w="100" w:type="dxa"/>
            </w:tcMar>
          </w:tcPr>
          <w:p>
            <w:r>
              <w:rPr>
                <w:rFonts w:ascii="Arial" w:hAnsi="Arial"/>
                <w:color w:val="1C1917"/>
                <w:sz w:val="16"/>
              </w:rPr>
              <w:t>總部資訊主管</w:t>
              <w:br/>
              <w:t>(ITS Director)</w:t>
            </w:r>
          </w:p>
        </w:tc>
        <w:tc>
          <w:tcPr>
            <w:tcW w:type="dxa" w:w="2304"/>
            <w:shd w:fill="FFFFFF"/>
            <w:tcMar>
              <w:top w:w="60" w:type="dxa"/>
              <w:bottom w:w="60" w:type="dxa"/>
              <w:left w:w="100" w:type="dxa"/>
              <w:right w:w="100" w:type="dxa"/>
            </w:tcMar>
          </w:tcPr>
          <w:p>
            <w:r>
              <w:rPr>
                <w:rFonts w:ascii="Arial" w:hAnsi="Arial"/>
                <w:color w:val="1C1917"/>
                <w:sz w:val="16"/>
              </w:rPr>
              <w:t>ITS 處長 / 主管</w:t>
              <w:br/>
              <w:t>(資訊管理處)</w:t>
            </w:r>
          </w:p>
        </w:tc>
        <w:tc>
          <w:tcPr>
            <w:tcW w:type="dxa" w:w="3744"/>
            <w:shd w:fill="FFFFFF"/>
            <w:tcMar>
              <w:top w:w="60" w:type="dxa"/>
              <w:bottom w:w="60" w:type="dxa"/>
              <w:left w:w="100" w:type="dxa"/>
              <w:right w:w="100" w:type="dxa"/>
            </w:tcMar>
          </w:tcPr>
          <w:p>
            <w:r>
              <w:rPr>
                <w:rFonts w:ascii="Arial" w:hAnsi="Arial"/>
                <w:color w:val="1C1917"/>
                <w:sz w:val="16"/>
              </w:rPr>
              <w:t>• 總部 16 位工程師每日任務指派與進度追蹤</w:t>
              <w:br/>
              <w:t>• 機房 25G 網路卡與 Core Switch 模組施工</w:t>
              <w:br/>
              <w:t>• GitLab 與 Notion 雙軌整併實際落地</w:t>
            </w:r>
          </w:p>
        </w:tc>
        <w:tc>
          <w:tcPr>
            <w:tcW w:type="dxa" w:w="2592"/>
            <w:shd w:fill="FFFFFF"/>
            <w:tcMar>
              <w:top w:w="60" w:type="dxa"/>
              <w:bottom w:w="60" w:type="dxa"/>
              <w:left w:w="100" w:type="dxa"/>
              <w:right w:w="100" w:type="dxa"/>
            </w:tcMar>
          </w:tcPr>
          <w:p>
            <w:r>
              <w:rPr>
                <w:rFonts w:ascii="Arial" w:hAnsi="Arial"/>
                <w:color w:val="1C1917"/>
                <w:sz w:val="16"/>
              </w:rPr>
              <w:t>簽名：_________________</w:t>
              <w:br/>
              <w:t>日期：2027 年 01 月 29 日</w:t>
            </w:r>
          </w:p>
        </w:tc>
      </w:tr>
      <w:tr>
        <w:tc>
          <w:tcPr>
            <w:tcW w:type="dxa" w:w="2160"/>
            <w:shd w:fill="FAFAF9"/>
            <w:tcMar>
              <w:top w:w="60" w:type="dxa"/>
              <w:bottom w:w="60" w:type="dxa"/>
              <w:left w:w="100" w:type="dxa"/>
              <w:right w:w="100" w:type="dxa"/>
            </w:tcMar>
          </w:tcPr>
          <w:p>
            <w:r>
              <w:rPr>
                <w:rFonts w:ascii="Arial" w:hAnsi="Arial"/>
                <w:color w:val="1C1917"/>
                <w:sz w:val="16"/>
              </w:rPr>
              <w:t>海外廠代表</w:t>
              <w:br/>
              <w:t>(Plant General Managers)</w:t>
            </w:r>
          </w:p>
        </w:tc>
        <w:tc>
          <w:tcPr>
            <w:tcW w:type="dxa" w:w="2304"/>
            <w:shd w:fill="FAFAF9"/>
            <w:tcMar>
              <w:top w:w="60" w:type="dxa"/>
              <w:bottom w:w="60" w:type="dxa"/>
              <w:left w:w="100" w:type="dxa"/>
              <w:right w:w="100" w:type="dxa"/>
            </w:tcMar>
          </w:tcPr>
          <w:p>
            <w:r>
              <w:rPr>
                <w:rFonts w:ascii="Arial" w:hAnsi="Arial"/>
                <w:color w:val="1C1917"/>
                <w:sz w:val="16"/>
              </w:rPr>
              <w:t>越/柬/印尼</w:t>
              <w:br/>
              <w:t>廠長代表</w:t>
            </w:r>
          </w:p>
        </w:tc>
        <w:tc>
          <w:tcPr>
            <w:tcW w:type="dxa" w:w="3744"/>
            <w:shd w:fill="FAFAF9"/>
            <w:tcMar>
              <w:top w:w="60" w:type="dxa"/>
              <w:bottom w:w="60" w:type="dxa"/>
              <w:left w:w="100" w:type="dxa"/>
              <w:right w:w="100" w:type="dxa"/>
            </w:tcMar>
          </w:tcPr>
          <w:p>
            <w:r>
              <w:rPr>
                <w:rFonts w:ascii="Arial" w:hAnsi="Arial"/>
                <w:color w:val="1C1917"/>
                <w:sz w:val="16"/>
              </w:rPr>
              <w:t>• 車間 ASUS GX10 邊緣工控機硬體佈署配合</w:t>
              <w:br/>
              <w:t>• 4-Gate 產前門禁實體簽核流程落地</w:t>
              <w:br/>
              <w:t>• 深夜離峰資料傳輸之廠端頻寬守護</w:t>
            </w:r>
          </w:p>
        </w:tc>
        <w:tc>
          <w:tcPr>
            <w:tcW w:type="dxa" w:w="2592"/>
            <w:shd w:fill="FAFAF9"/>
            <w:tcMar>
              <w:top w:w="60" w:type="dxa"/>
              <w:bottom w:w="60" w:type="dxa"/>
              <w:left w:w="100" w:type="dxa"/>
              <w:right w:w="100" w:type="dxa"/>
            </w:tcMar>
          </w:tcPr>
          <w:p>
            <w:r>
              <w:rPr>
                <w:rFonts w:ascii="Arial" w:hAnsi="Arial"/>
                <w:color w:val="1C1917"/>
                <w:sz w:val="16"/>
              </w:rPr>
              <w:t>簽名：_________________</w:t>
              <w:br/>
              <w:t>日期：2027 年 01 月 29 日</w:t>
            </w:r>
          </w:p>
        </w:tc>
      </w:tr>
    </w:tbl>
    <w:p>
      <w:pPr>
        <w:spacing w:after="80"/>
      </w:pPr>
    </w:p>
    <w:p>
      <w:r>
        <w:br w:type="page"/>
      </w:r>
    </w:p>
    <w:p>
      <w:pPr>
        <w:spacing w:before="160" w:after="80"/>
      </w:pPr>
      <w:r>
        <w:rPr>
          <w:rFonts w:ascii="Arial" w:hAnsi="Arial"/>
          <w:b/>
          <w:color w:val="D97706"/>
          <w:sz w:val="22"/>
        </w:rPr>
        <w:t xml:space="preserve">【目錄導覽】 </w:t>
      </w:r>
      <w:r>
        <w:rPr>
          <w:rFonts w:ascii="Arial" w:hAnsi="Arial"/>
          <w:b/>
          <w:color w:val="A83212"/>
          <w:sz w:val="30"/>
        </w:rPr>
        <w:t>全案 10 大章節、40 項主題與附錄清冊 (第一部分)</w:t>
      </w:r>
    </w:p>
    <w:p>
      <w:pPr>
        <w:spacing w:before="0" w:after="200"/>
      </w:pPr>
      <w:r>
        <w:rPr>
          <w:rFonts w:ascii="Arial" w:hAnsi="Arial"/>
          <w:i/>
          <w:color w:val="78716C"/>
          <w:sz w:val="19"/>
        </w:rPr>
        <w:t>Table of Contents · Architecture Roadmap &amp; Chapters 1 to 5</w:t>
      </w:r>
    </w:p>
    <w:p>
      <w:pPr>
        <w:spacing w:before="20" w:after="40"/>
      </w:pPr>
      <w:r>
        <w:rPr>
          <w:color w:val="1C1917"/>
          <w:sz w:val="19"/>
        </w:rPr>
        <w:t>執行摘要：第一階段戰略突破、財務對沖與第二階段啟動準備</w:t>
      </w:r>
      <w:r>
        <w:rPr>
          <w:color w:val="C8C3BE"/>
        </w:rPr>
        <w:t xml:space="preserve"> .......................... </w:t>
      </w:r>
      <w:r>
        <w:rPr>
          <w:b/>
          <w:color w:val="A83212"/>
        </w:rPr>
        <w:t>06 - 09</w:t>
      </w:r>
    </w:p>
    <w:p>
      <w:pPr>
        <w:spacing w:before="20" w:after="40"/>
      </w:pPr>
      <w:r>
        <w:rPr>
          <w:color w:val="1C1917"/>
          <w:sz w:val="19"/>
        </w:rPr>
        <w:t>第一章：蜂巢計畫宏觀戰略與 2027 資本配置模型 (Pillar I 數位底座)</w:t>
      </w:r>
      <w:r>
        <w:rPr>
          <w:color w:val="C8C3BE"/>
        </w:rPr>
        <w:t xml:space="preserve">  </w:t>
      </w:r>
      <w:r>
        <w:rPr>
          <w:b/>
          <w:color w:val="A83212"/>
        </w:rPr>
        <w:t>10 - 17</w:t>
      </w:r>
    </w:p>
    <w:p>
      <w:pPr>
        <w:spacing w:before="20" w:after="40"/>
      </w:pPr>
      <w:r>
        <w:rPr>
          <w:color w:val="1C1917"/>
          <w:sz w:val="19"/>
        </w:rPr>
        <w:t xml:space="preserve">  1.1 跨國成衣製造之產業格局與數位轉型挑戰</w:t>
      </w:r>
      <w:r>
        <w:rPr>
          <w:color w:val="C8C3BE"/>
        </w:rPr>
        <w:t xml:space="preserve"> ................................ </w:t>
      </w:r>
      <w:r>
        <w:rPr>
          <w:b/>
          <w:color w:val="A83212"/>
        </w:rPr>
        <w:t>10</w:t>
      </w:r>
    </w:p>
    <w:p>
      <w:pPr>
        <w:spacing w:before="20" w:after="40"/>
      </w:pPr>
      <w:r>
        <w:rPr>
          <w:color w:val="1C1917"/>
          <w:sz w:val="19"/>
        </w:rPr>
        <w:t xml:space="preserve">  1.2 信源跨國工廠（越、柬、印、孟）痛點與斷網脆弱度分析</w:t>
      </w:r>
      <w:r>
        <w:rPr>
          <w:color w:val="C8C3BE"/>
        </w:rPr>
        <w:t xml:space="preserve"> .................. </w:t>
      </w:r>
      <w:r>
        <w:rPr>
          <w:b/>
          <w:color w:val="A83212"/>
        </w:rPr>
        <w:t>11</w:t>
      </w:r>
    </w:p>
    <w:p>
      <w:pPr>
        <w:spacing w:before="20" w:after="40"/>
      </w:pPr>
      <w:r>
        <w:rPr>
          <w:color w:val="1C1917"/>
          <w:sz w:val="19"/>
        </w:rPr>
        <w:t xml:space="preserve">  1.3 蜂巢計畫四大主架構（Pillar I ~ IV）戰略界定</w:t>
      </w:r>
      <w:r>
        <w:rPr>
          <w:color w:val="C8C3BE"/>
        </w:rPr>
        <w:t xml:space="preserve"> ............ </w:t>
      </w:r>
      <w:r>
        <w:rPr>
          <w:b/>
          <w:color w:val="A83212"/>
        </w:rPr>
        <w:t>12</w:t>
      </w:r>
    </w:p>
    <w:p>
      <w:pPr>
        <w:spacing w:before="20" w:after="40"/>
      </w:pPr>
      <w:r>
        <w:rPr>
          <w:color w:val="1C1917"/>
          <w:sz w:val="19"/>
        </w:rPr>
        <w:t xml:space="preserve">  1.4 Pillar I 數位底座之八大關鍵領域深度展開</w:t>
      </w:r>
      <w:r>
        <w:rPr>
          <w:color w:val="C8C3BE"/>
        </w:rPr>
        <w:t xml:space="preserve"> .................... </w:t>
      </w:r>
      <w:r>
        <w:rPr>
          <w:b/>
          <w:color w:val="A83212"/>
        </w:rPr>
        <w:t>13</w:t>
      </w:r>
    </w:p>
    <w:p>
      <w:pPr>
        <w:spacing w:before="20" w:after="40"/>
      </w:pPr>
      <w:r>
        <w:rPr>
          <w:color w:val="1C1917"/>
          <w:sz w:val="19"/>
        </w:rPr>
        <w:t xml:space="preserve">  1.5 Gartner R-G-T 55/25/20 資本配置模型在成衣製造之應用</w:t>
      </w:r>
      <w:r>
        <w:rPr>
          <w:color w:val="C8C3BE"/>
        </w:rPr>
        <w:t xml:space="preserve">  </w:t>
      </w:r>
      <w:r>
        <w:rPr>
          <w:b/>
          <w:color w:val="A83212"/>
        </w:rPr>
        <w:t>14</w:t>
      </w:r>
    </w:p>
    <w:p>
      <w:pPr>
        <w:spacing w:before="20" w:after="40"/>
      </w:pPr>
      <w:r>
        <w:rPr>
          <w:color w:val="1C1917"/>
          <w:sz w:val="19"/>
        </w:rPr>
        <w:t xml:space="preserve">  1.6 單件成衣數位成本 (DCPG) 控管與每年 NT$ 3,705 萬現金節省對沖</w:t>
      </w:r>
      <w:r>
        <w:rPr>
          <w:color w:val="C8C3BE"/>
        </w:rPr>
        <w:t xml:space="preserve">  </w:t>
      </w:r>
      <w:r>
        <w:rPr>
          <w:b/>
          <w:color w:val="A83212"/>
        </w:rPr>
        <w:t>15</w:t>
      </w:r>
    </w:p>
    <w:p>
      <w:pPr>
        <w:spacing w:before="20" w:after="40"/>
      </w:pPr>
      <w:r>
        <w:rPr>
          <w:color w:val="1C1917"/>
          <w:sz w:val="19"/>
        </w:rPr>
        <w:t xml:space="preserve">  1.7 第一階段顧問服務之委任範圍、工作說明書 (SOW) 與 17 服務日</w:t>
      </w:r>
      <w:r>
        <w:rPr>
          <w:color w:val="C8C3BE"/>
        </w:rPr>
        <w:t xml:space="preserve">  </w:t>
      </w:r>
      <w:r>
        <w:rPr>
          <w:b/>
          <w:color w:val="A83212"/>
        </w:rPr>
        <w:t>16</w:t>
      </w:r>
    </w:p>
    <w:p>
      <w:pPr>
        <w:spacing w:before="20" w:after="40"/>
      </w:pPr>
      <w:r>
        <w:rPr>
          <w:color w:val="1C1917"/>
          <w:sz w:val="19"/>
        </w:rPr>
        <w:t xml:space="preserve">  1.8 組織協同模式：計劃主持人（周文津副總）與執行負責人（Howard Liao Ph.D.）</w:t>
      </w:r>
      <w:r>
        <w:rPr>
          <w:color w:val="C8C3BE"/>
        </w:rPr>
        <w:t xml:space="preserve">  </w:t>
      </w:r>
      <w:r>
        <w:rPr>
          <w:b/>
          <w:color w:val="A83212"/>
        </w:rPr>
        <w:t>17</w:t>
      </w:r>
    </w:p>
    <w:p>
      <w:pPr>
        <w:spacing w:before="20" w:after="40"/>
      </w:pPr>
      <w:r>
        <w:rPr>
          <w:color w:val="1C1917"/>
          <w:sz w:val="19"/>
        </w:rPr>
        <w:t>第二章：現有資訊基礎設施與 5 大核心系統技術棧體檢</w:t>
      </w:r>
      <w:r>
        <w:rPr>
          <w:color w:val="C8C3BE"/>
        </w:rPr>
        <w:t xml:space="preserve"> ............................ </w:t>
      </w:r>
      <w:r>
        <w:rPr>
          <w:b/>
          <w:color w:val="A83212"/>
        </w:rPr>
        <w:t>18 - 27</w:t>
      </w:r>
    </w:p>
    <w:p>
      <w:pPr>
        <w:spacing w:before="20" w:after="40"/>
      </w:pPr>
      <w:r>
        <w:rPr>
          <w:color w:val="1C1917"/>
          <w:sz w:val="19"/>
        </w:rPr>
        <w:t xml:space="preserve">  2.1 台北總部與海外廠資通訊機房基礎設施現況盤點</w:t>
      </w:r>
      <w:r>
        <w:rPr>
          <w:color w:val="C8C3BE"/>
        </w:rPr>
        <w:t xml:space="preserve"> .......................... </w:t>
      </w:r>
      <w:r>
        <w:rPr>
          <w:b/>
          <w:color w:val="A83212"/>
        </w:rPr>
        <w:t>18</w:t>
      </w:r>
    </w:p>
    <w:p>
      <w:pPr>
        <w:spacing w:before="20" w:after="40"/>
      </w:pPr>
      <w:r>
        <w:rPr>
          <w:color w:val="1C1917"/>
          <w:sz w:val="19"/>
        </w:rPr>
        <w:t xml:space="preserve">  2.2 跨國網路拓撲：SD-WAN 連線頻寬瓶頸與外點離峰傳輸原則</w:t>
      </w:r>
      <w:r>
        <w:rPr>
          <w:color w:val="C8C3BE"/>
        </w:rPr>
        <w:t xml:space="preserve"> .......... </w:t>
      </w:r>
      <w:r>
        <w:rPr>
          <w:b/>
          <w:color w:val="A83212"/>
        </w:rPr>
        <w:t>19</w:t>
      </w:r>
    </w:p>
    <w:p>
      <w:pPr>
        <w:spacing w:before="20" w:after="40"/>
      </w:pPr>
      <w:r>
        <w:rPr>
          <w:color w:val="1C1917"/>
          <w:sz w:val="19"/>
        </w:rPr>
        <w:t xml:space="preserve">  2.3 核心 ERP：Dynamics 365 Finance &amp; Operations (X++) 現行架構</w:t>
      </w:r>
      <w:r>
        <w:rPr>
          <w:color w:val="C8C3BE"/>
        </w:rPr>
        <w:t xml:space="preserve">  </w:t>
      </w:r>
      <w:r>
        <w:rPr>
          <w:b/>
          <w:color w:val="A83212"/>
        </w:rPr>
        <w:t>20</w:t>
      </w:r>
    </w:p>
    <w:p>
      <w:pPr>
        <w:spacing w:before="20" w:after="40"/>
      </w:pPr>
      <w:r>
        <w:rPr>
          <w:color w:val="1C1917"/>
          <w:sz w:val="19"/>
        </w:rPr>
        <w:t xml:space="preserve">  2.4 D365 F&amp;O 資料匯出風險：微軟 2026-11-30 Export to Data Lake 停用防禦</w:t>
      </w:r>
      <w:r>
        <w:rPr>
          <w:color w:val="C8C3BE"/>
        </w:rPr>
        <w:t xml:space="preserve">  </w:t>
      </w:r>
      <w:r>
        <w:rPr>
          <w:b/>
          <w:color w:val="A83212"/>
        </w:rPr>
        <w:t>21</w:t>
      </w:r>
    </w:p>
    <w:p>
      <w:pPr>
        <w:spacing w:before="20" w:after="40"/>
      </w:pPr>
      <w:r>
        <w:rPr>
          <w:color w:val="1C1917"/>
          <w:sz w:val="19"/>
        </w:rPr>
        <w:t xml:space="preserve">  2.5 傳統打樣系統：RD Sample (.NET 4.8, Knockout.js) 之維護人才斷層</w:t>
      </w:r>
      <w:r>
        <w:rPr>
          <w:color w:val="C8C3BE"/>
        </w:rPr>
        <w:t xml:space="preserve">  </w:t>
      </w:r>
      <w:r>
        <w:rPr>
          <w:b/>
          <w:color w:val="A83212"/>
        </w:rPr>
        <w:t>22</w:t>
      </w:r>
    </w:p>
    <w:p>
      <w:pPr>
        <w:spacing w:before="20" w:after="40"/>
      </w:pPr>
      <w:r>
        <w:rPr>
          <w:color w:val="1C1917"/>
          <w:sz w:val="19"/>
        </w:rPr>
        <w:t xml:space="preserve">  2.6 D365 外掛模組 (.NET 4.8, ASP.NET Web API 5.2, MVC) 介接隱患</w:t>
      </w:r>
      <w:r>
        <w:rPr>
          <w:color w:val="C8C3BE"/>
        </w:rPr>
        <w:t xml:space="preserve">  </w:t>
      </w:r>
      <w:r>
        <w:rPr>
          <w:b/>
          <w:color w:val="A83212"/>
        </w:rPr>
        <w:t>23</w:t>
      </w:r>
    </w:p>
    <w:p>
      <w:pPr>
        <w:spacing w:before="20" w:after="40"/>
      </w:pPr>
      <w:r>
        <w:rPr>
          <w:color w:val="1C1917"/>
          <w:sz w:val="19"/>
        </w:rPr>
        <w:t xml:space="preserve">  2.7 現代示範燈塔：CQS 系統 (.NET 8.0, Vue 3, TypeScript) 架構深度解析</w:t>
      </w:r>
      <w:r>
        <w:rPr>
          <w:color w:val="C8C3BE"/>
        </w:rPr>
        <w:t xml:space="preserve">  </w:t>
      </w:r>
      <w:r>
        <w:rPr>
          <w:b/>
          <w:color w:val="A83212"/>
        </w:rPr>
        <w:t>24</w:t>
      </w:r>
    </w:p>
    <w:p>
      <w:pPr>
        <w:spacing w:before="20" w:after="40"/>
      </w:pPr>
      <w:r>
        <w:rPr>
          <w:color w:val="1C1917"/>
          <w:sz w:val="19"/>
        </w:rPr>
        <w:t xml:space="preserve">  2.8 快遞系統 (.NET 4.8, Vue 3) 混合架構痛點與驗證機制排查</w:t>
      </w:r>
      <w:r>
        <w:rPr>
          <w:color w:val="C8C3BE"/>
        </w:rPr>
        <w:t xml:space="preserve">  </w:t>
      </w:r>
      <w:r>
        <w:rPr>
          <w:b/>
          <w:color w:val="A83212"/>
        </w:rPr>
        <w:t>25</w:t>
      </w:r>
    </w:p>
    <w:p>
      <w:pPr>
        <w:spacing w:before="20" w:after="40"/>
      </w:pPr>
      <w:r>
        <w:rPr>
          <w:color w:val="1C1917"/>
          <w:sz w:val="19"/>
        </w:rPr>
        <w:t xml:space="preserve">  2.9 5 大核心系統跨版本相容性與程式庫 (Class Library) 共享斷層</w:t>
      </w:r>
      <w:r>
        <w:rPr>
          <w:color w:val="C8C3BE"/>
        </w:rPr>
        <w:t xml:space="preserve">  </w:t>
      </w:r>
      <w:r>
        <w:rPr>
          <w:b/>
          <w:color w:val="A83212"/>
        </w:rPr>
        <w:t>26</w:t>
      </w:r>
    </w:p>
    <w:p>
      <w:pPr>
        <w:spacing w:before="20" w:after="40"/>
      </w:pPr>
      <w:r>
        <w:rPr>
          <w:color w:val="1C1917"/>
          <w:sz w:val="19"/>
        </w:rPr>
        <w:t xml:space="preserve">  2.10 技術債風險矩陣評估與分階段淘汰/翻新路線圖</w:t>
      </w:r>
      <w:r>
        <w:rPr>
          <w:color w:val="C8C3BE"/>
        </w:rPr>
        <w:t xml:space="preserve"> ........................ </w:t>
      </w:r>
      <w:r>
        <w:rPr>
          <w:b/>
          <w:color w:val="A83212"/>
        </w:rPr>
        <w:t>27</w:t>
      </w:r>
    </w:p>
    <w:p>
      <w:pPr>
        <w:spacing w:before="20" w:after="40"/>
      </w:pPr>
      <w:r>
        <w:rPr>
          <w:color w:val="1C1917"/>
          <w:sz w:val="19"/>
        </w:rPr>
        <w:t>第三章：SCM 原始碼管理、Notion 整合與 16 人團隊治理</w:t>
      </w:r>
      <w:r>
        <w:rPr>
          <w:color w:val="C8C3BE"/>
        </w:rPr>
        <w:t xml:space="preserve"> .............. </w:t>
      </w:r>
      <w:r>
        <w:rPr>
          <w:b/>
          <w:color w:val="A83212"/>
        </w:rPr>
        <w:t>28 - 35</w:t>
      </w:r>
    </w:p>
    <w:p>
      <w:pPr>
        <w:spacing w:before="20" w:after="40"/>
      </w:pPr>
      <w:r>
        <w:rPr>
          <w:color w:val="1C1917"/>
          <w:sz w:val="19"/>
        </w:rPr>
        <w:t>第四章：跨國 API 總平台與微軟 C# .NET 8 標準規範</w:t>
      </w:r>
      <w:r>
        <w:rPr>
          <w:color w:val="C8C3BE"/>
        </w:rPr>
        <w:t xml:space="preserve"> ................ </w:t>
      </w:r>
      <w:r>
        <w:rPr>
          <w:b/>
          <w:color w:val="A83212"/>
        </w:rPr>
        <w:t>36 - 45</w:t>
      </w:r>
    </w:p>
    <w:p>
      <w:pPr>
        <w:spacing w:before="20" w:after="40"/>
      </w:pPr>
      <w:r>
        <w:rPr>
          <w:color w:val="1C1917"/>
          <w:sz w:val="19"/>
        </w:rPr>
        <w:t>第五章：雙軌資料湖倉、CDC 異動管線與深夜離峰傳輸政策</w:t>
      </w:r>
      <w:r>
        <w:rPr>
          <w:color w:val="C8C3BE"/>
        </w:rPr>
        <w:t xml:space="preserve"> ........................ </w:t>
      </w:r>
      <w:r>
        <w:rPr>
          <w:b/>
          <w:color w:val="A83212"/>
        </w:rPr>
        <w:t>46 - 55</w:t>
      </w:r>
    </w:p>
    <w:p>
      <w:r>
        <w:br w:type="page"/>
      </w:r>
    </w:p>
    <w:p>
      <w:pPr>
        <w:spacing w:before="160" w:after="80"/>
      </w:pPr>
      <w:r>
        <w:rPr>
          <w:rFonts w:ascii="Arial" w:hAnsi="Arial"/>
          <w:b/>
          <w:color w:val="D97706"/>
          <w:sz w:val="22"/>
        </w:rPr>
        <w:t xml:space="preserve">【目錄導覽】 </w:t>
      </w:r>
      <w:r>
        <w:rPr>
          <w:rFonts w:ascii="Arial" w:hAnsi="Arial"/>
          <w:b/>
          <w:color w:val="A83212"/>
          <w:sz w:val="30"/>
        </w:rPr>
        <w:t>全案 10 大章節、40 項主題與附錄清冊 (第二部分)</w:t>
      </w:r>
    </w:p>
    <w:p>
      <w:pPr>
        <w:spacing w:before="0" w:after="200"/>
      </w:pPr>
      <w:r>
        <w:rPr>
          <w:rFonts w:ascii="Arial" w:hAnsi="Arial"/>
          <w:i/>
          <w:color w:val="78716C"/>
          <w:sz w:val="19"/>
        </w:rPr>
        <w:t>Table of Contents · Architecture Roadmap &amp; Chapters 6 to 10</w:t>
      </w:r>
    </w:p>
    <w:p>
      <w:pPr>
        <w:spacing w:before="20" w:after="40"/>
      </w:pPr>
      <w:r>
        <w:rPr>
          <w:color w:val="1C1917"/>
          <w:sz w:val="19"/>
        </w:rPr>
        <w:t>第六章：Gartner 2026 雙層語意層與成衣核心指標定義</w:t>
      </w:r>
      <w:r>
        <w:rPr>
          <w:color w:val="C8C3BE"/>
        </w:rPr>
        <w:t xml:space="preserve"> .................. </w:t>
      </w:r>
      <w:r>
        <w:rPr>
          <w:b/>
          <w:color w:val="A83212"/>
        </w:rPr>
        <w:t>56 - 65</w:t>
      </w:r>
    </w:p>
    <w:p>
      <w:pPr>
        <w:spacing w:before="20" w:after="40"/>
      </w:pPr>
      <w:r>
        <w:rPr>
          <w:color w:val="1C1917"/>
          <w:sz w:val="19"/>
        </w:rPr>
        <w:t xml:space="preserve">  6.1 Gartner 2026 最新資料管理技術成熟度曲線（Hype Cycle 2026）解讀</w:t>
      </w:r>
      <w:r>
        <w:rPr>
          <w:color w:val="C8C3BE"/>
        </w:rPr>
        <w:t xml:space="preserve">  </w:t>
      </w:r>
      <w:r>
        <w:rPr>
          <w:b/>
          <w:color w:val="A83212"/>
        </w:rPr>
        <w:t>56</w:t>
      </w:r>
    </w:p>
    <w:p>
      <w:pPr>
        <w:spacing w:before="20" w:after="40"/>
      </w:pPr>
      <w:r>
        <w:rPr>
          <w:color w:val="1C1917"/>
          <w:sz w:val="19"/>
        </w:rPr>
        <w:t xml:space="preserve">  6.2 上下文層與語意（Context Layers &amp; Semantics）在 AI 時代的決定性</w:t>
      </w:r>
      <w:r>
        <w:rPr>
          <w:color w:val="C8C3BE"/>
        </w:rPr>
        <w:t xml:space="preserve">  </w:t>
      </w:r>
      <w:r>
        <w:rPr>
          <w:b/>
          <w:color w:val="A83212"/>
        </w:rPr>
        <w:t>57</w:t>
      </w:r>
    </w:p>
    <w:p>
      <w:pPr>
        <w:spacing w:before="20" w:after="40"/>
      </w:pPr>
      <w:r>
        <w:rPr>
          <w:color w:val="1C1917"/>
          <w:sz w:val="19"/>
        </w:rPr>
        <w:t xml:space="preserve">  6.3 期望最高峰：上下文工程與語意豐富資料層（Semantically Enriched）</w:t>
      </w:r>
      <w:r>
        <w:rPr>
          <w:color w:val="C8C3BE"/>
        </w:rPr>
        <w:t xml:space="preserve">  </w:t>
      </w:r>
      <w:r>
        <w:rPr>
          <w:b/>
          <w:color w:val="A83212"/>
        </w:rPr>
        <w:t>58</w:t>
      </w:r>
    </w:p>
    <w:p>
      <w:pPr>
        <w:spacing w:before="20" w:after="40"/>
      </w:pPr>
      <w:r>
        <w:rPr>
          <w:color w:val="1C1917"/>
          <w:sz w:val="19"/>
        </w:rPr>
        <w:t xml:space="preserve">  6.4 組合式語意層（Composite Semantic Layer）與開放標準 (OSI) 倡議</w:t>
      </w:r>
      <w:r>
        <w:rPr>
          <w:color w:val="C8C3BE"/>
        </w:rPr>
        <w:t xml:space="preserve">  </w:t>
      </w:r>
      <w:r>
        <w:rPr>
          <w:b/>
          <w:color w:val="A83212"/>
        </w:rPr>
        <w:t>59</w:t>
      </w:r>
    </w:p>
    <w:p>
      <w:pPr>
        <w:spacing w:before="20" w:after="40"/>
      </w:pPr>
      <w:r>
        <w:rPr>
          <w:color w:val="1C1917"/>
          <w:sz w:val="19"/>
        </w:rPr>
        <w:t xml:space="preserve">  6.5 Gartner 給 CIO 的 3 大靈魂拷問深度解析與信源防禦策略</w:t>
      </w:r>
      <w:r>
        <w:rPr>
          <w:color w:val="C8C3BE"/>
        </w:rPr>
        <w:t xml:space="preserve">  </w:t>
      </w:r>
      <w:r>
        <w:rPr>
          <w:b/>
          <w:color w:val="A83212"/>
        </w:rPr>
        <w:t>60</w:t>
      </w:r>
    </w:p>
    <w:p>
      <w:pPr>
        <w:spacing w:before="20" w:after="40"/>
      </w:pPr>
      <w:r>
        <w:rPr>
          <w:color w:val="1C1917"/>
          <w:sz w:val="19"/>
        </w:rPr>
        <w:t xml:space="preserve">  6.6 不搬資料、不重構架構：信源雙層語意層（Two-Tier Semantic Layer）</w:t>
      </w:r>
      <w:r>
        <w:rPr>
          <w:color w:val="C8C3BE"/>
        </w:rPr>
        <w:t xml:space="preserve">  </w:t>
      </w:r>
      <w:r>
        <w:rPr>
          <w:b/>
          <w:color w:val="A83212"/>
        </w:rPr>
        <w:t>61</w:t>
      </w:r>
    </w:p>
    <w:p>
      <w:pPr>
        <w:spacing w:before="20" w:after="40"/>
      </w:pPr>
      <w:r>
        <w:rPr>
          <w:color w:val="1C1917"/>
          <w:sz w:val="19"/>
        </w:rPr>
        <w:t xml:space="preserve">  6.7 企業級語意層（Tier 2）：源頭權限、血緣追溯與 DirectLake 虛擬化</w:t>
      </w:r>
      <w:r>
        <w:rPr>
          <w:color w:val="C8C3BE"/>
        </w:rPr>
        <w:t xml:space="preserve">  </w:t>
      </w:r>
      <w:r>
        <w:rPr>
          <w:b/>
          <w:color w:val="A83212"/>
        </w:rPr>
        <w:t>62</w:t>
      </w:r>
    </w:p>
    <w:p>
      <w:pPr>
        <w:spacing w:before="20" w:after="40"/>
      </w:pPr>
      <w:r>
        <w:rPr>
          <w:color w:val="1C1917"/>
          <w:sz w:val="19"/>
        </w:rPr>
        <w:t xml:space="preserve">  6.8 業務級語意層（Tier 1）：生管 AI Agent ＋ 聯銓晨會看板同源調用</w:t>
      </w:r>
      <w:r>
        <w:rPr>
          <w:color w:val="C8C3BE"/>
        </w:rPr>
        <w:t xml:space="preserve">  </w:t>
      </w:r>
      <w:r>
        <w:rPr>
          <w:b/>
          <w:color w:val="A83212"/>
        </w:rPr>
        <w:t>63</w:t>
      </w:r>
    </w:p>
    <w:p>
      <w:pPr>
        <w:spacing w:before="20" w:after="40"/>
      </w:pPr>
      <w:r>
        <w:rPr>
          <w:color w:val="1C1917"/>
          <w:sz w:val="19"/>
        </w:rPr>
        <w:t xml:space="preserve">  6.9 20 大成衣核心製造指標標準計算公式庫（車縫平衡、布損、OEE）</w:t>
      </w:r>
      <w:r>
        <w:rPr>
          <w:color w:val="C8C3BE"/>
        </w:rPr>
        <w:t xml:space="preserve"> .... </w:t>
      </w:r>
      <w:r>
        <w:rPr>
          <w:b/>
          <w:color w:val="A83212"/>
        </w:rPr>
        <w:t>64</w:t>
      </w:r>
    </w:p>
    <w:p>
      <w:pPr>
        <w:spacing w:before="20" w:after="40"/>
      </w:pPr>
      <w:r>
        <w:rPr>
          <w:color w:val="1C1917"/>
          <w:sz w:val="19"/>
        </w:rPr>
        <w:t xml:space="preserve">  6.10 指標治理成效：徹底消滅生管 AI 預測與廠長晨會報表數字矛盾</w:t>
      </w:r>
      <w:r>
        <w:rPr>
          <w:color w:val="C8C3BE"/>
        </w:rPr>
        <w:t xml:space="preserve"> ...... </w:t>
      </w:r>
      <w:r>
        <w:rPr>
          <w:b/>
          <w:color w:val="A83212"/>
        </w:rPr>
        <w:t>65</w:t>
      </w:r>
    </w:p>
    <w:p>
      <w:pPr>
        <w:spacing w:before="20" w:after="40"/>
      </w:pPr>
      <w:r>
        <w:rPr>
          <w:color w:val="1C1917"/>
          <w:sz w:val="19"/>
        </w:rPr>
        <w:t>第七章：海外三廠邊緣離線自治 (ASUS GX10) 與 4-Gate 產前門禁</w:t>
      </w:r>
      <w:r>
        <w:rPr>
          <w:color w:val="C8C3BE"/>
        </w:rPr>
        <w:t xml:space="preserve">  </w:t>
      </w:r>
      <w:r>
        <w:rPr>
          <w:b/>
          <w:color w:val="A83212"/>
        </w:rPr>
        <w:t>66 - 75</w:t>
      </w:r>
    </w:p>
    <w:p>
      <w:pPr>
        <w:spacing w:before="20" w:after="40"/>
      </w:pPr>
      <w:r>
        <w:rPr>
          <w:color w:val="1C1917"/>
          <w:sz w:val="19"/>
        </w:rPr>
        <w:t>第八章：2027 AI 資本配置、機房 85 萬升級與雲地混合 TCO</w:t>
      </w:r>
      <w:r>
        <w:rPr>
          <w:color w:val="C8C3BE"/>
        </w:rPr>
        <w:t xml:space="preserve"> .......... </w:t>
      </w:r>
      <w:r>
        <w:rPr>
          <w:b/>
          <w:color w:val="A83212"/>
        </w:rPr>
        <w:t>76 - 83</w:t>
      </w:r>
    </w:p>
    <w:p>
      <w:pPr>
        <w:spacing w:before="20" w:after="40"/>
      </w:pPr>
      <w:r>
        <w:rPr>
          <w:color w:val="1C1917"/>
          <w:sz w:val="19"/>
        </w:rPr>
        <w:t>第九章：企業級 AI-SDLC 治理手冊與內控第 9 條之一合規</w:t>
      </w:r>
      <w:r>
        <w:rPr>
          <w:color w:val="C8C3BE"/>
        </w:rPr>
        <w:t xml:space="preserve"> ................ </w:t>
      </w:r>
      <w:r>
        <w:rPr>
          <w:b/>
          <w:color w:val="A83212"/>
        </w:rPr>
        <w:t>84 - 91</w:t>
      </w:r>
    </w:p>
    <w:p>
      <w:pPr>
        <w:spacing w:before="20" w:after="40"/>
      </w:pPr>
      <w:r>
        <w:rPr>
          <w:color w:val="1C1917"/>
          <w:sz w:val="19"/>
        </w:rPr>
        <w:t>第十章：十二週顧問服務歷程全景、每週交付物與驗收總表 (W01~W12)</w:t>
      </w:r>
      <w:r>
        <w:rPr>
          <w:color w:val="C8C3BE"/>
        </w:rPr>
        <w:t xml:space="preserve"> ........ </w:t>
      </w:r>
      <w:r>
        <w:rPr>
          <w:b/>
          <w:color w:val="A83212"/>
        </w:rPr>
        <w:t>92 - 103</w:t>
      </w:r>
    </w:p>
    <w:p>
      <w:pPr>
        <w:spacing w:before="20" w:after="40"/>
      </w:pPr>
      <w:r>
        <w:rPr>
          <w:color w:val="1C1917"/>
          <w:sz w:val="19"/>
        </w:rPr>
        <w:t>附錄 A：MS SQL CDC 異動捕獲與資料湖倉分層標準 DDL 原始碼</w:t>
      </w:r>
      <w:r>
        <w:rPr>
          <w:color w:val="C8C3BE"/>
        </w:rPr>
        <w:t xml:space="preserve"> ...... </w:t>
      </w:r>
      <w:r>
        <w:rPr>
          <w:b/>
          <w:color w:val="A83212"/>
        </w:rPr>
        <w:t>104</w:t>
      </w:r>
    </w:p>
    <w:p>
      <w:pPr>
        <w:spacing w:before="20" w:after="40"/>
      </w:pPr>
      <w:r>
        <w:rPr>
          <w:color w:val="1C1917"/>
          <w:sz w:val="19"/>
        </w:rPr>
        <w:t>附錄 B：C# .NET 8 企業級 API 分層與 ApiResponse 信封模式代碼</w:t>
      </w:r>
      <w:r>
        <w:rPr>
          <w:color w:val="C8C3BE"/>
        </w:rPr>
        <w:t xml:space="preserve">  </w:t>
      </w:r>
      <w:r>
        <w:rPr>
          <w:b/>
          <w:color w:val="A83212"/>
        </w:rPr>
        <w:t>105</w:t>
      </w:r>
    </w:p>
    <w:p>
      <w:pPr>
        <w:spacing w:before="20" w:after="40"/>
      </w:pPr>
      <w:r>
        <w:rPr>
          <w:color w:val="1C1917"/>
          <w:sz w:val="19"/>
        </w:rPr>
        <w:t>附錄 C：4-Gate 產前門禁策略模式 (Strategy Pattern) 實作範例代碼</w:t>
      </w:r>
      <w:r>
        <w:rPr>
          <w:color w:val="C8C3BE"/>
        </w:rPr>
        <w:t xml:space="preserve">  </w:t>
      </w:r>
      <w:r>
        <w:rPr>
          <w:b/>
          <w:color w:val="A83212"/>
        </w:rPr>
        <w:t>106</w:t>
      </w:r>
    </w:p>
    <w:p>
      <w:pPr>
        <w:spacing w:before="20" w:after="40"/>
      </w:pPr>
      <w:r>
        <w:rPr>
          <w:color w:val="1C1917"/>
          <w:sz w:val="19"/>
        </w:rPr>
        <w:t>附錄 D：信源 13 大工程技術角色代碼（R01-FE ~ R13-PM）與職能矩陣</w:t>
      </w:r>
      <w:r>
        <w:rPr>
          <w:color w:val="C8C3BE"/>
        </w:rPr>
        <w:t xml:space="preserve">  </w:t>
      </w:r>
      <w:r>
        <w:rPr>
          <w:b/>
          <w:color w:val="A83212"/>
        </w:rPr>
        <w:t>107</w:t>
      </w:r>
    </w:p>
    <w:p>
      <w:pPr>
        <w:spacing w:before="20" w:after="40"/>
      </w:pPr>
      <w:r>
        <w:rPr>
          <w:color w:val="1C1917"/>
          <w:sz w:val="19"/>
        </w:rPr>
        <w:t>附錄 E：第一階段 17 個顧問服務日工時與工作產出清冊</w:t>
      </w:r>
      <w:r>
        <w:rPr>
          <w:color w:val="C8C3BE"/>
        </w:rPr>
        <w:t xml:space="preserve"> ........................ </w:t>
      </w:r>
      <w:r>
        <w:rPr>
          <w:b/>
          <w:color w:val="A83212"/>
        </w:rPr>
        <w:t>108</w:t>
      </w:r>
    </w:p>
    <w:p>
      <w:pPr>
        <w:spacing w:before="20" w:after="40"/>
      </w:pPr>
      <w:r>
        <w:rPr>
          <w:color w:val="1C1917"/>
          <w:sz w:val="19"/>
        </w:rPr>
        <w:t>附錄 F：信源全球 2027 蜂巢計畫技術名詞與標準術語對照表</w:t>
      </w:r>
      <w:r>
        <w:rPr>
          <w:color w:val="C8C3BE"/>
        </w:rPr>
        <w:t xml:space="preserve"> .................. </w:t>
      </w:r>
      <w:r>
        <w:rPr>
          <w:b/>
          <w:color w:val="A83212"/>
        </w:rPr>
        <w:t>109</w:t>
      </w:r>
    </w:p>
    <w:p>
      <w:pPr>
        <w:spacing w:before="20" w:after="40"/>
      </w:pPr>
      <w:r>
        <w:rPr>
          <w:color w:val="1C1917"/>
          <w:sz w:val="19"/>
        </w:rPr>
        <w:t>附錄 G：雙簽核准頁（計劃主持人：周文津副總經理、執行負責人：Howard Liao Ph.D.）</w:t>
      </w:r>
      <w:r>
        <w:rPr>
          <w:color w:val="C8C3BE"/>
        </w:rPr>
        <w:t xml:space="preserve">  </w:t>
      </w:r>
      <w:r>
        <w:rPr>
          <w:b/>
          <w:color w:val="A83212"/>
        </w:rPr>
        <w:t>110</w:t>
      </w:r>
    </w:p>
    <w:p>
      <w:r>
        <w:br w:type="page"/>
      </w:r>
    </w:p>
    <w:p>
      <w:pPr>
        <w:spacing w:before="160" w:after="80"/>
      </w:pPr>
      <w:r>
        <w:rPr>
          <w:rFonts w:ascii="Arial" w:hAnsi="Arial"/>
          <w:b/>
          <w:color w:val="D97706"/>
          <w:sz w:val="22"/>
        </w:rPr>
        <w:t xml:space="preserve">【執行摘要】 </w:t>
      </w:r>
      <w:r>
        <w:rPr>
          <w:rFonts w:ascii="Arial" w:hAnsi="Arial"/>
          <w:b/>
          <w:color w:val="A83212"/>
          <w:sz w:val="30"/>
        </w:rPr>
        <w:t>第一階段戰略願景、核心財務指標與三大承諾</w:t>
      </w:r>
    </w:p>
    <w:p>
      <w:pPr>
        <w:spacing w:before="0" w:after="200"/>
      </w:pPr>
      <w:r>
        <w:rPr>
          <w:rFonts w:ascii="Arial" w:hAnsi="Arial"/>
          <w:i/>
          <w:color w:val="78716C"/>
          <w:sz w:val="19"/>
        </w:rPr>
        <w:t>Executive Summary · Strategic Vision, Capital Allocation &amp; Commitments</w:t>
      </w:r>
    </w:p>
    <w:p>
      <w:pPr>
        <w:spacing w:before="0" w:after="120" w:line="276" w:lineRule="auto"/>
      </w:pPr>
      <w:r>
        <w:rPr>
          <w:rFonts w:ascii="Arial" w:hAnsi="Arial"/>
          <w:color w:val="1C1917"/>
          <w:sz w:val="19"/>
        </w:rPr>
        <w:t>2027 年信源全球（RSI Group）IT 投資主軸正式定調為：『營運韌性、AI 規模化、資料可信任、成本可控化』。蜂巢計畫（Project Hive）第一階段的戰略目的，並非盲目增加單點應用系統，而是為集團打造一套能貫通跨國工廠、整合異質架構、支撐未來 5 年 AI 智能營運的強韌『數位底座（Pillar I）』。</w:t>
      </w:r>
    </w:p>
    <w:p>
      <w:pPr>
        <w:pStyle w:val="ListBullet"/>
        <w:spacing w:before="0" w:after="60" w:line="269" w:lineRule="auto"/>
      </w:pPr>
      <w:r>
        <w:rPr>
          <w:rFonts w:ascii="Arial" w:hAnsi="Arial"/>
          <w:b/>
          <w:color w:val="1C1917"/>
          <w:sz w:val="18"/>
        </w:rPr>
        <w:t>資本配置體系：</w:t>
      </w:r>
      <w:r>
        <w:rPr>
          <w:rFonts w:ascii="Arial" w:hAnsi="Arial"/>
          <w:color w:val="1C1917"/>
          <w:sz w:val="18"/>
        </w:rPr>
        <w:t>預計將 2027 資訊預算嚴格依 Gartner 標竿模型配置為：55% 維運穩固 (Run)、25% 業務增長 (Grow)、20% 創新躍升 (Transform)，避免預算全數被日常雜支吞噬。</w:t>
      </w:r>
    </w:p>
    <w:p>
      <w:pPr>
        <w:pStyle w:val="ListBullet"/>
        <w:spacing w:before="0" w:after="60" w:line="269" w:lineRule="auto"/>
      </w:pPr>
      <w:r>
        <w:rPr>
          <w:rFonts w:ascii="Arial" w:hAnsi="Arial"/>
          <w:b/>
          <w:color w:val="1C1917"/>
          <w:sz w:val="18"/>
        </w:rPr>
        <w:t>營運降本承諾：</w:t>
      </w:r>
      <w:r>
        <w:rPr>
          <w:rFonts w:ascii="Arial" w:hAnsi="Arial"/>
          <w:color w:val="1C1917"/>
          <w:sz w:val="18"/>
        </w:rPr>
        <w:t>以 FinOps 精神嚴控經常性支出，透過授權整併、架構現代化與執行個體優化，目標實質降低可控維運費用 8% ～ 12%。</w:t>
      </w:r>
    </w:p>
    <w:p>
      <w:pPr>
        <w:pStyle w:val="ListBullet"/>
        <w:spacing w:before="0" w:after="60" w:line="269" w:lineRule="auto"/>
      </w:pPr>
      <w:r>
        <w:rPr>
          <w:rFonts w:ascii="Arial" w:hAnsi="Arial"/>
          <w:b/>
          <w:color w:val="1C1917"/>
          <w:sz w:val="18"/>
        </w:rPr>
        <w:t>工時釋放承諾：</w:t>
      </w:r>
      <w:r>
        <w:rPr>
          <w:rFonts w:ascii="Arial" w:hAnsi="Arial"/>
          <w:color w:val="1C1917"/>
          <w:sz w:val="18"/>
        </w:rPr>
        <w:t>導入 Agentic AI 協同工廠生管、做工規範知識庫（RAG）與工程 IE 排產，預期釋放核心業務同仁 15% ～ 25% 之作業工時。</w:t>
      </w:r>
    </w:p>
    <w:p>
      <w:pPr>
        <w:pStyle w:val="ListBullet"/>
        <w:spacing w:before="0" w:after="60" w:line="269" w:lineRule="auto"/>
      </w:pPr>
      <w:r>
        <w:rPr>
          <w:rFonts w:ascii="Arial" w:hAnsi="Arial"/>
          <w:b/>
          <w:color w:val="1C1917"/>
          <w:sz w:val="18"/>
        </w:rPr>
        <w:t>復原韌性承諾：</w:t>
      </w:r>
      <w:r>
        <w:rPr>
          <w:rFonts w:ascii="Arial" w:hAnsi="Arial"/>
          <w:color w:val="1C1917"/>
          <w:sz w:val="18"/>
        </w:rPr>
        <w:t>建立東南亞海外廠區 48～72 小時離線生產自治能力，將核心生產 Tier-1 系統災難復原能力推升至外部稽核認可之 RPO &lt; 15 分鐘、RTO &lt; 2 小時。</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【計劃主持人指導方針】</w:t>
              <w:br/>
            </w:r>
            <w:r>
              <w:rPr>
                <w:rFonts w:ascii="Arial" w:hAnsi="Arial"/>
                <w:color w:val="1C1917"/>
                <w:sz w:val="18"/>
              </w:rPr>
              <w:t>『2027 的重點不是增加更多單點系統，而是讓既有資訊能力形成跨流程、跨廠區、跨系統的實質營運效益。』—— 周文津 副總經理</w:t>
            </w:r>
          </w:p>
        </w:tc>
      </w:tr>
    </w:tbl>
    <w:p>
      <w:pPr>
        <w:spacing w:after="80"/>
      </w:pPr>
    </w:p>
    <w:p>
      <w:r>
        <w:br w:type="page"/>
      </w:r>
    </w:p>
    <w:p>
      <w:pPr>
        <w:spacing w:before="160" w:after="80"/>
      </w:pPr>
      <w:r>
        <w:rPr>
          <w:rFonts w:ascii="Arial" w:hAnsi="Arial"/>
          <w:b/>
          <w:color w:val="D97706"/>
          <w:sz w:val="22"/>
        </w:rPr>
        <w:t xml:space="preserve">【執行摘要】 </w:t>
      </w:r>
      <w:r>
        <w:rPr>
          <w:rFonts w:ascii="Arial" w:hAnsi="Arial"/>
          <w:b/>
          <w:color w:val="A83212"/>
          <w:sz w:val="30"/>
        </w:rPr>
        <w:t>四大主架構收斂與十二週里程碑突破全貌</w:t>
      </w:r>
    </w:p>
    <w:p>
      <w:pPr>
        <w:spacing w:before="0" w:after="200"/>
      </w:pPr>
      <w:r>
        <w:rPr>
          <w:rFonts w:ascii="Arial" w:hAnsi="Arial"/>
          <w:i/>
          <w:color w:val="78716C"/>
          <w:sz w:val="19"/>
        </w:rPr>
        <w:t>Executive Summary · 4 Core Pillars &amp; 12-Week Milestone Breakthroughs</w:t>
      </w:r>
    </w:p>
    <w:p>
      <w:pPr>
        <w:spacing w:before="0" w:after="120" w:line="276" w:lineRule="auto"/>
      </w:pPr>
      <w:r>
        <w:rPr>
          <w:rFonts w:ascii="Arial" w:hAnsi="Arial"/>
          <w:color w:val="1C1917"/>
          <w:sz w:val="19"/>
        </w:rPr>
        <w:t>在為期 12 週（2026/11/02 ~ 2027/01/29）的密集推進中，顧問團隊攜手信源 ITS 內部 16 位工程師團隊，完成了全集團四大戰略主架構的全面體檢與標準化收斂：</w:t>
      </w:r>
    </w:p>
    <w:tbl>
      <w:tblPr>
        <w:tblW w:type="auto" w:w="0"/>
        <w:jc w:val="center"/>
        <w:tblLook w:firstColumn="1" w:firstRow="1" w:lastColumn="0" w:lastRow="0" w:noHBand="0" w:noVBand="1" w:val="04A0"/>
      </w:tblPr>
      <w:tblGrid>
        <w:gridCol w:w="3216"/>
        <w:gridCol w:w="3216"/>
        <w:gridCol w:w="3216"/>
      </w:tblGrid>
      <w:tr>
        <w:tc>
          <w:tcPr>
            <w:tcW w:type="dxa" w:w="2592"/>
            <w:shd w:fill="F5EFEB"/>
            <w:tcMar>
              <w:top w:w="80" w:type="dxa"/>
              <w:bottom w:w="80" w:type="dxa"/>
              <w:left w:w="100" w:type="dxa"/>
              <w:right w:w="100" w:type="dxa"/>
            </w:tcMar>
          </w:tcPr>
          <w:p>
            <w:r>
              <w:rPr>
                <w:rFonts w:ascii="Arial" w:hAnsi="Arial"/>
                <w:b/>
                <w:color w:val="A83212"/>
                <w:sz w:val="17"/>
              </w:rPr>
              <w:t>戰略主架構 (Pillars)</w:t>
            </w:r>
          </w:p>
        </w:tc>
        <w:tc>
          <w:tcPr>
            <w:tcW w:type="dxa" w:w="4608"/>
            <w:shd w:fill="F5EFEB"/>
            <w:tcMar>
              <w:top w:w="80" w:type="dxa"/>
              <w:bottom w:w="80" w:type="dxa"/>
              <w:left w:w="100" w:type="dxa"/>
              <w:right w:w="100" w:type="dxa"/>
            </w:tcMar>
          </w:tcPr>
          <w:p>
            <w:r>
              <w:rPr>
                <w:rFonts w:ascii="Arial" w:hAnsi="Arial"/>
                <w:b/>
                <w:color w:val="A83212"/>
                <w:sz w:val="17"/>
              </w:rPr>
              <w:t>第一階段完成之核心里程碑與突破成果</w:t>
            </w:r>
          </w:p>
        </w:tc>
        <w:tc>
          <w:tcPr>
            <w:tcW w:type="dxa" w:w="3168"/>
            <w:shd w:fill="F5EFEB"/>
            <w:tcMar>
              <w:top w:w="80" w:type="dxa"/>
              <w:bottom w:w="80" w:type="dxa"/>
              <w:left w:w="100" w:type="dxa"/>
              <w:right w:w="100" w:type="dxa"/>
            </w:tcMar>
          </w:tcPr>
          <w:p>
            <w:r>
              <w:rPr>
                <w:rFonts w:ascii="Arial" w:hAnsi="Arial"/>
                <w:b/>
                <w:color w:val="A83212"/>
                <w:sz w:val="17"/>
              </w:rPr>
              <w:t>對集團之實質營運效益</w:t>
            </w:r>
          </w:p>
        </w:tc>
      </w:tr>
      <w:tr>
        <w:tc>
          <w:tcPr>
            <w:tcW w:type="dxa" w:w="2592"/>
            <w:shd w:fill="FFFFFF"/>
            <w:tcMar>
              <w:top w:w="60" w:type="dxa"/>
              <w:bottom w:w="60" w:type="dxa"/>
              <w:left w:w="100" w:type="dxa"/>
              <w:right w:w="100" w:type="dxa"/>
            </w:tcMar>
          </w:tcPr>
          <w:p>
            <w:r>
              <w:rPr>
                <w:rFonts w:ascii="Arial" w:hAnsi="Arial"/>
                <w:color w:val="1C1917"/>
                <w:sz w:val="16"/>
              </w:rPr>
              <w:t>Pillar I</w:t>
              <w:br/>
              <w:t>數位底座與治理</w:t>
              <w:br/>
              <w:t>(8大關鍵領域)</w:t>
            </w:r>
          </w:p>
        </w:tc>
        <w:tc>
          <w:tcPr>
            <w:tcW w:type="dxa" w:w="4608"/>
            <w:shd w:fill="FFFFFF"/>
            <w:tcMar>
              <w:top w:w="60" w:type="dxa"/>
              <w:bottom w:w="60" w:type="dxa"/>
              <w:left w:w="100" w:type="dxa"/>
              <w:right w:w="100" w:type="dxa"/>
            </w:tcMar>
          </w:tcPr>
          <w:p>
            <w:r>
              <w:rPr>
                <w:rFonts w:ascii="Arial" w:hAnsi="Arial"/>
                <w:color w:val="1C1917"/>
                <w:sz w:val="16"/>
              </w:rPr>
              <w:t>• 完成 5 大核心系統技術棧體檢與 SCM 版控整合方案</w:t>
              <w:br/>
              <w:t>• 制定 C# .NET 8 標準 API 規範與雙向 WAAP 安全架構</w:t>
              <w:br/>
              <w:t>• 確立外點資料深夜 01:00~03:00 離峰一日一次傳輸政策</w:t>
            </w:r>
          </w:p>
        </w:tc>
        <w:tc>
          <w:tcPr>
            <w:tcW w:type="dxa" w:w="3168"/>
            <w:shd w:fill="FFFFFF"/>
            <w:tcMar>
              <w:top w:w="60" w:type="dxa"/>
              <w:bottom w:w="60" w:type="dxa"/>
              <w:left w:w="100" w:type="dxa"/>
              <w:right w:w="100" w:type="dxa"/>
            </w:tcMar>
          </w:tcPr>
          <w:p>
            <w:r>
              <w:rPr>
                <w:rFonts w:ascii="Arial" w:hAnsi="Arial"/>
                <w:color w:val="1C1917"/>
                <w:sz w:val="16"/>
              </w:rPr>
              <w:t>消除跨系統資料孤島，保護跨國 SD-WAN 日間頻寬，滿足上市櫃資通安全稽核。</w:t>
            </w:r>
          </w:p>
        </w:tc>
      </w:tr>
      <w:tr>
        <w:tc>
          <w:tcPr>
            <w:tcW w:type="dxa" w:w="2592"/>
            <w:shd w:fill="FAFAF9"/>
            <w:tcMar>
              <w:top w:w="60" w:type="dxa"/>
              <w:bottom w:w="60" w:type="dxa"/>
              <w:left w:w="100" w:type="dxa"/>
              <w:right w:w="100" w:type="dxa"/>
            </w:tcMar>
          </w:tcPr>
          <w:p>
            <w:r>
              <w:rPr>
                <w:rFonts w:ascii="Arial" w:hAnsi="Arial"/>
                <w:color w:val="1C1917"/>
                <w:sz w:val="16"/>
              </w:rPr>
              <w:t>Pillar II</w:t>
              <w:br/>
              <w:t>營運流程整合</w:t>
              <w:br/>
              <w:t>(5大端到端流)</w:t>
            </w:r>
          </w:p>
        </w:tc>
        <w:tc>
          <w:tcPr>
            <w:tcW w:type="dxa" w:w="4608"/>
            <w:shd w:fill="FAFAF9"/>
            <w:tcMar>
              <w:top w:w="60" w:type="dxa"/>
              <w:bottom w:w="60" w:type="dxa"/>
              <w:left w:w="100" w:type="dxa"/>
              <w:right w:w="100" w:type="dxa"/>
            </w:tcMar>
          </w:tcPr>
          <w:p>
            <w:r>
              <w:rPr>
                <w:rFonts w:ascii="Arial" w:hAnsi="Arial"/>
                <w:color w:val="1C1917"/>
                <w:sz w:val="16"/>
              </w:rPr>
              <w:t>• 梳理成衣業務『訂單款式結構圖』去識別化處理管線</w:t>
              <w:br/>
              <w:t>• 建立 Ready-to-Sew 4-Gate 產前剛性門禁防呆矩陣</w:t>
              <w:br/>
              <w:t>• 規劃 D365 F&amp;O 與海外廠 MES/WMS 資料流介接標準</w:t>
            </w:r>
          </w:p>
        </w:tc>
        <w:tc>
          <w:tcPr>
            <w:tcW w:type="dxa" w:w="3168"/>
            <w:shd w:fill="FAFAF9"/>
            <w:tcMar>
              <w:top w:w="60" w:type="dxa"/>
              <w:bottom w:w="60" w:type="dxa"/>
              <w:left w:w="100" w:type="dxa"/>
              <w:right w:w="100" w:type="dxa"/>
            </w:tcMar>
          </w:tcPr>
          <w:p>
            <w:r>
              <w:rPr>
                <w:rFonts w:ascii="Arial" w:hAnsi="Arial"/>
                <w:color w:val="1C1917"/>
                <w:sz w:val="16"/>
              </w:rPr>
              <w:t>杜絕缺料或未封樣即冒然開裁，降低大貨生產線停工待料風險。</w:t>
            </w:r>
          </w:p>
        </w:tc>
      </w:tr>
      <w:tr>
        <w:tc>
          <w:tcPr>
            <w:tcW w:type="dxa" w:w="2592"/>
            <w:shd w:fill="FFFFFF"/>
            <w:tcMar>
              <w:top w:w="60" w:type="dxa"/>
              <w:bottom w:w="60" w:type="dxa"/>
              <w:left w:w="100" w:type="dxa"/>
              <w:right w:w="100" w:type="dxa"/>
            </w:tcMar>
          </w:tcPr>
          <w:p>
            <w:r>
              <w:rPr>
                <w:rFonts w:ascii="Arial" w:hAnsi="Arial"/>
                <w:color w:val="1C1917"/>
                <w:sz w:val="16"/>
              </w:rPr>
              <w:t>Pillar III</w:t>
              <w:br/>
              <w:t>智能營運與決策</w:t>
              <w:br/>
              <w:t>(7大智能應用)</w:t>
            </w:r>
          </w:p>
        </w:tc>
        <w:tc>
          <w:tcPr>
            <w:tcW w:type="dxa" w:w="4608"/>
            <w:shd w:fill="FFFFFF"/>
            <w:tcMar>
              <w:top w:w="60" w:type="dxa"/>
              <w:bottom w:w="60" w:type="dxa"/>
              <w:left w:w="100" w:type="dxa"/>
              <w:right w:w="100" w:type="dxa"/>
            </w:tcMar>
          </w:tcPr>
          <w:p>
            <w:r>
              <w:rPr>
                <w:rFonts w:ascii="Arial" w:hAnsi="Arial"/>
                <w:color w:val="1C1917"/>
                <w:sz w:val="16"/>
              </w:rPr>
              <w:t>• 融合 Gartner 2026 雙層語意層，統一 20 大成衣核心指標</w:t>
              <w:br/>
              <w:t>• 確立以 CQS (.NET 8) 作為生管 AI Agent 首波試行示範</w:t>
              <w:br/>
              <w:t>• 建立 RAG 知識庫引用溯源與品牌智財無菌室 (Clean Room)</w:t>
            </w:r>
          </w:p>
        </w:tc>
        <w:tc>
          <w:tcPr>
            <w:tcW w:type="dxa" w:w="3168"/>
            <w:shd w:fill="FFFFFF"/>
            <w:tcMar>
              <w:top w:w="60" w:type="dxa"/>
              <w:bottom w:w="60" w:type="dxa"/>
              <w:left w:w="100" w:type="dxa"/>
              <w:right w:w="100" w:type="dxa"/>
            </w:tcMar>
          </w:tcPr>
          <w:p>
            <w:r>
              <w:rPr>
                <w:rFonts w:ascii="Arial" w:hAnsi="Arial"/>
                <w:color w:val="1C1917"/>
                <w:sz w:val="16"/>
              </w:rPr>
              <w:t>消滅生管 AI 預測與廠長晨會報表數字打架，保護品牌客戶版型智財。</w:t>
            </w:r>
          </w:p>
        </w:tc>
      </w:tr>
      <w:tr>
        <w:tc>
          <w:tcPr>
            <w:tcW w:type="dxa" w:w="2592"/>
            <w:shd w:fill="FAFAF9"/>
            <w:tcMar>
              <w:top w:w="60" w:type="dxa"/>
              <w:bottom w:w="60" w:type="dxa"/>
              <w:left w:w="100" w:type="dxa"/>
              <w:right w:w="100" w:type="dxa"/>
            </w:tcMar>
          </w:tcPr>
          <w:p>
            <w:r>
              <w:rPr>
                <w:rFonts w:ascii="Arial" w:hAnsi="Arial"/>
                <w:color w:val="1C1917"/>
                <w:sz w:val="16"/>
              </w:rPr>
              <w:t>Pillar IV</w:t>
              <w:br/>
              <w:t>智慧製造與邊緣</w:t>
              <w:br/>
              <w:t>(5大設備與邊緣)</w:t>
            </w:r>
          </w:p>
        </w:tc>
        <w:tc>
          <w:tcPr>
            <w:tcW w:type="dxa" w:w="4608"/>
            <w:shd w:fill="FAFAF9"/>
            <w:tcMar>
              <w:top w:w="60" w:type="dxa"/>
              <w:bottom w:w="60" w:type="dxa"/>
              <w:left w:w="100" w:type="dxa"/>
              <w:right w:w="100" w:type="dxa"/>
            </w:tcMar>
          </w:tcPr>
          <w:p>
            <w:r>
              <w:rPr>
                <w:rFonts w:ascii="Arial" w:hAnsi="Arial"/>
                <w:color w:val="1C1917"/>
                <w:sz w:val="16"/>
              </w:rPr>
              <w:t>• 選定華碩 ASUS Ascent GX10 工業級邊緣 AI 工作站</w:t>
              <w:br/>
              <w:t>• 實測驗證東南亞海外三廠 48～72 小時離線生產自治能力</w:t>
              <w:br/>
              <w:t>• 制定復網後雙向增量差分同步演算法 (Delta Sync Engine)</w:t>
            </w:r>
          </w:p>
        </w:tc>
        <w:tc>
          <w:tcPr>
            <w:tcW w:type="dxa" w:w="3168"/>
            <w:shd w:fill="FAFAF9"/>
            <w:tcMar>
              <w:top w:w="60" w:type="dxa"/>
              <w:bottom w:w="60" w:type="dxa"/>
              <w:left w:w="100" w:type="dxa"/>
              <w:right w:w="100" w:type="dxa"/>
            </w:tcMar>
          </w:tcPr>
          <w:p>
            <w:r>
              <w:rPr>
                <w:rFonts w:ascii="Arial" w:hAnsi="Arial"/>
                <w:color w:val="1C1917"/>
                <w:sz w:val="16"/>
              </w:rPr>
              <w:t>海外廠遇海纜斷網仍能正常車縫計件，產線不停擺、數據不遺失。</w:t>
            </w:r>
          </w:p>
        </w:tc>
      </w:tr>
    </w:tbl>
    <w:p>
      <w:pPr>
        <w:spacing w:after="80"/>
      </w:pPr>
    </w:p>
    <w:p>
      <w:r>
        <w:br w:type="page"/>
      </w:r>
    </w:p>
    <w:p>
      <w:pPr>
        <w:spacing w:before="160" w:after="80"/>
      </w:pPr>
      <w:r>
        <w:rPr>
          <w:rFonts w:ascii="Arial" w:hAnsi="Arial"/>
          <w:b/>
          <w:color w:val="D97706"/>
          <w:sz w:val="22"/>
        </w:rPr>
        <w:t xml:space="preserve">【執行摘要】 </w:t>
      </w:r>
      <w:r>
        <w:rPr>
          <w:rFonts w:ascii="Arial" w:hAnsi="Arial"/>
          <w:b/>
          <w:color w:val="A83212"/>
          <w:sz w:val="30"/>
        </w:rPr>
        <w:t>2027 財務回報與硬性對沖回收即時試算 (FinOps Engine)</w:t>
      </w:r>
    </w:p>
    <w:p>
      <w:pPr>
        <w:spacing w:before="0" w:after="200"/>
      </w:pPr>
      <w:r>
        <w:rPr>
          <w:rFonts w:ascii="Arial" w:hAnsi="Arial"/>
          <w:i/>
          <w:color w:val="78716C"/>
          <w:sz w:val="19"/>
        </w:rPr>
        <w:t>Executive Summary · Financial ROI, Payback Analysis &amp; Hard Dollar Savings</w:t>
      </w:r>
    </w:p>
    <w:p>
      <w:pPr>
        <w:spacing w:before="0" w:after="120" w:line="276" w:lineRule="auto"/>
      </w:pPr>
      <w:r>
        <w:rPr>
          <w:rFonts w:ascii="Arial" w:hAnsi="Arial"/>
          <w:color w:val="1C1917"/>
          <w:sz w:val="19"/>
        </w:rPr>
        <w:t>為確保 2027 年 IT 資本支出的每一分錢皆具備嚴格的財務論證，本案基於全年度基準投資額 US$640,000 (約合 NT$ 2,016 萬)，建立了『硬性財務對沖與投資回收試算模型（FinOps ROI Engine）』。經由對沖跨國成衣製造最痛的『空運包機違約金』與『大貨布料採購損耗』，驗證本案具備極高的商業回報率。</w:t>
      </w:r>
    </w:p>
    <w:tbl>
      <w:tblPr>
        <w:tblW w:type="auto" w:w="0"/>
        <w:jc w:val="center"/>
        <w:tblLook w:firstColumn="1" w:firstRow="1" w:lastColumn="0" w:lastRow="0" w:noHBand="0" w:noVBand="1" w:val="04A0"/>
      </w:tblPr>
      <w:tblGrid>
        <w:gridCol w:w="2412"/>
        <w:gridCol w:w="2412"/>
        <w:gridCol w:w="2412"/>
        <w:gridCol w:w="2412"/>
      </w:tblGrid>
      <w:tr>
        <w:tc>
          <w:tcPr>
            <w:tcW w:type="dxa" w:w="3168"/>
            <w:shd w:fill="F5EFEB"/>
            <w:tcMar>
              <w:top w:w="80" w:type="dxa"/>
              <w:bottom w:w="80" w:type="dxa"/>
              <w:left w:w="100" w:type="dxa"/>
              <w:right w:w="100" w:type="dxa"/>
            </w:tcMar>
          </w:tcPr>
          <w:p>
            <w:r>
              <w:rPr>
                <w:rFonts w:ascii="Arial" w:hAnsi="Arial"/>
                <w:b/>
                <w:color w:val="A83212"/>
                <w:sz w:val="17"/>
              </w:rPr>
              <w:t>財務指標項目</w:t>
            </w:r>
          </w:p>
        </w:tc>
        <w:tc>
          <w:tcPr>
            <w:tcW w:type="dxa" w:w="2592"/>
            <w:shd w:fill="F5EFEB"/>
            <w:tcMar>
              <w:top w:w="80" w:type="dxa"/>
              <w:bottom w:w="80" w:type="dxa"/>
              <w:left w:w="100" w:type="dxa"/>
              <w:right w:w="100" w:type="dxa"/>
            </w:tcMar>
          </w:tcPr>
          <w:p>
            <w:r>
              <w:rPr>
                <w:rFonts w:ascii="Arial" w:hAnsi="Arial"/>
                <w:b/>
                <w:color w:val="A83212"/>
                <w:sz w:val="17"/>
              </w:rPr>
              <w:t>基準承諾數值 (Baseline Target)</w:t>
            </w:r>
          </w:p>
        </w:tc>
        <w:tc>
          <w:tcPr>
            <w:tcW w:type="dxa" w:w="2592"/>
            <w:shd w:fill="F5EFEB"/>
            <w:tcMar>
              <w:top w:w="80" w:type="dxa"/>
              <w:bottom w:w="80" w:type="dxa"/>
              <w:left w:w="100" w:type="dxa"/>
              <w:right w:w="100" w:type="dxa"/>
            </w:tcMar>
          </w:tcPr>
          <w:p>
            <w:r>
              <w:rPr>
                <w:rFonts w:ascii="Arial" w:hAnsi="Arial"/>
                <w:b/>
                <w:color w:val="A83212"/>
                <w:sz w:val="17"/>
              </w:rPr>
              <w:t>極致優化數值 (Optimized)</w:t>
            </w:r>
          </w:p>
        </w:tc>
        <w:tc>
          <w:tcPr>
            <w:tcW w:type="dxa" w:w="2304"/>
            <w:shd w:fill="F5EFEB"/>
            <w:tcMar>
              <w:top w:w="80" w:type="dxa"/>
              <w:bottom w:w="80" w:type="dxa"/>
              <w:left w:w="100" w:type="dxa"/>
              <w:right w:w="100" w:type="dxa"/>
            </w:tcMar>
          </w:tcPr>
          <w:p>
            <w:r>
              <w:rPr>
                <w:rFonts w:ascii="Arial" w:hAnsi="Arial"/>
                <w:b/>
                <w:color w:val="A83212"/>
                <w:sz w:val="17"/>
              </w:rPr>
              <w:t>計算口徑與避險依據</w:t>
            </w:r>
          </w:p>
        </w:tc>
      </w:tr>
      <w:tr>
        <w:tc>
          <w:tcPr>
            <w:tcW w:type="dxa" w:w="3168"/>
            <w:shd w:fill="FFFFFF"/>
            <w:tcMar>
              <w:top w:w="60" w:type="dxa"/>
              <w:bottom w:w="60" w:type="dxa"/>
              <w:left w:w="100" w:type="dxa"/>
              <w:right w:w="100" w:type="dxa"/>
            </w:tcMar>
          </w:tcPr>
          <w:p>
            <w:r>
              <w:rPr>
                <w:rFonts w:ascii="Arial" w:hAnsi="Arial"/>
                <w:color w:val="1C1917"/>
                <w:sz w:val="16"/>
              </w:rPr>
              <w:t>每年防禦海外空運違約</w:t>
            </w:r>
          </w:p>
        </w:tc>
        <w:tc>
          <w:tcPr>
            <w:tcW w:type="dxa" w:w="2592"/>
            <w:shd w:fill="FFFFFF"/>
            <w:tcMar>
              <w:top w:w="60" w:type="dxa"/>
              <w:bottom w:w="60" w:type="dxa"/>
              <w:left w:w="100" w:type="dxa"/>
              <w:right w:w="100" w:type="dxa"/>
            </w:tcMar>
          </w:tcPr>
          <w:p>
            <w:r>
              <w:rPr>
                <w:rFonts w:ascii="Arial" w:hAnsi="Arial"/>
                <w:color w:val="1C1917"/>
                <w:sz w:val="16"/>
              </w:rPr>
              <w:t>成功防禦 2 次包機違約</w:t>
            </w:r>
          </w:p>
        </w:tc>
        <w:tc>
          <w:tcPr>
            <w:tcW w:type="dxa" w:w="2592"/>
            <w:shd w:fill="FFFFFF"/>
            <w:tcMar>
              <w:top w:w="60" w:type="dxa"/>
              <w:bottom w:w="60" w:type="dxa"/>
              <w:left w:w="100" w:type="dxa"/>
              <w:right w:w="100" w:type="dxa"/>
            </w:tcMar>
          </w:tcPr>
          <w:p>
            <w:r>
              <w:rPr>
                <w:rFonts w:ascii="Arial" w:hAnsi="Arial"/>
                <w:color w:val="1C1917"/>
                <w:sz w:val="16"/>
              </w:rPr>
              <w:t>成功防禦 4 次包機違約</w:t>
            </w:r>
          </w:p>
        </w:tc>
        <w:tc>
          <w:tcPr>
            <w:tcW w:type="dxa" w:w="2304"/>
            <w:shd w:fill="FFFFFF"/>
            <w:tcMar>
              <w:top w:w="60" w:type="dxa"/>
              <w:bottom w:w="60" w:type="dxa"/>
              <w:left w:w="100" w:type="dxa"/>
              <w:right w:w="100" w:type="dxa"/>
            </w:tcMar>
          </w:tcPr>
          <w:p>
            <w:r>
              <w:rPr>
                <w:rFonts w:ascii="Arial" w:hAnsi="Arial"/>
                <w:color w:val="1C1917"/>
                <w:sz w:val="16"/>
              </w:rPr>
              <w:t>成衣大貨延誤之跨國包機罰款約 $25 萬美元/次。</w:t>
            </w:r>
          </w:p>
        </w:tc>
      </w:tr>
      <w:tr>
        <w:tc>
          <w:tcPr>
            <w:tcW w:type="dxa" w:w="3168"/>
            <w:shd w:fill="FAFAF9"/>
            <w:tcMar>
              <w:top w:w="60" w:type="dxa"/>
              <w:bottom w:w="60" w:type="dxa"/>
              <w:left w:w="100" w:type="dxa"/>
              <w:right w:w="100" w:type="dxa"/>
            </w:tcMar>
          </w:tcPr>
          <w:p>
            <w:r>
              <w:rPr>
                <w:rFonts w:ascii="Arial" w:hAnsi="Arial"/>
                <w:color w:val="1C1917"/>
                <w:sz w:val="16"/>
              </w:rPr>
              <w:t>大貨布料利用率改善</w:t>
            </w:r>
          </w:p>
        </w:tc>
        <w:tc>
          <w:tcPr>
            <w:tcW w:type="dxa" w:w="2592"/>
            <w:shd w:fill="FAFAF9"/>
            <w:tcMar>
              <w:top w:w="60" w:type="dxa"/>
              <w:bottom w:w="60" w:type="dxa"/>
              <w:left w:w="100" w:type="dxa"/>
              <w:right w:w="100" w:type="dxa"/>
            </w:tcMar>
          </w:tcPr>
          <w:p>
            <w:r>
              <w:rPr>
                <w:rFonts w:ascii="Arial" w:hAnsi="Arial"/>
                <w:color w:val="1C1917"/>
                <w:sz w:val="16"/>
              </w:rPr>
              <w:t>利用率提升 1.2%</w:t>
            </w:r>
          </w:p>
        </w:tc>
        <w:tc>
          <w:tcPr>
            <w:tcW w:type="dxa" w:w="2592"/>
            <w:shd w:fill="FAFAF9"/>
            <w:tcMar>
              <w:top w:w="60" w:type="dxa"/>
              <w:bottom w:w="60" w:type="dxa"/>
              <w:left w:w="100" w:type="dxa"/>
              <w:right w:w="100" w:type="dxa"/>
            </w:tcMar>
          </w:tcPr>
          <w:p>
            <w:r>
              <w:rPr>
                <w:rFonts w:ascii="Arial" w:hAnsi="Arial"/>
                <w:color w:val="1C1917"/>
                <w:sz w:val="16"/>
              </w:rPr>
              <w:t>利用率提升 2.5%</w:t>
            </w:r>
          </w:p>
        </w:tc>
        <w:tc>
          <w:tcPr>
            <w:tcW w:type="dxa" w:w="2304"/>
            <w:shd w:fill="FAFAF9"/>
            <w:tcMar>
              <w:top w:w="60" w:type="dxa"/>
              <w:bottom w:w="60" w:type="dxa"/>
              <w:left w:w="100" w:type="dxa"/>
              <w:right w:w="100" w:type="dxa"/>
            </w:tcMar>
          </w:tcPr>
          <w:p>
            <w:r>
              <w:rPr>
                <w:rFonts w:ascii="Arial" w:hAnsi="Arial"/>
                <w:color w:val="1C1917"/>
                <w:sz w:val="16"/>
              </w:rPr>
              <w:t>透過 4-Gate 齊套防呆與 CAD 排產，減少超裁與裁剪浪費。</w:t>
            </w:r>
          </w:p>
        </w:tc>
      </w:tr>
      <w:tr>
        <w:tc>
          <w:tcPr>
            <w:tcW w:type="dxa" w:w="3168"/>
            <w:shd w:fill="FFFFFF"/>
            <w:tcMar>
              <w:top w:w="60" w:type="dxa"/>
              <w:bottom w:w="60" w:type="dxa"/>
              <w:left w:w="100" w:type="dxa"/>
              <w:right w:w="100" w:type="dxa"/>
            </w:tcMar>
          </w:tcPr>
          <w:p>
            <w:r>
              <w:rPr>
                <w:rFonts w:ascii="Arial" w:hAnsi="Arial"/>
                <w:color w:val="1C1917"/>
                <w:sz w:val="16"/>
              </w:rPr>
              <w:t>空運違約節省現金流</w:t>
            </w:r>
          </w:p>
        </w:tc>
        <w:tc>
          <w:tcPr>
            <w:tcW w:type="dxa" w:w="2592"/>
            <w:shd w:fill="FFFFFF"/>
            <w:tcMar>
              <w:top w:w="60" w:type="dxa"/>
              <w:bottom w:w="60" w:type="dxa"/>
              <w:left w:w="100" w:type="dxa"/>
              <w:right w:w="100" w:type="dxa"/>
            </w:tcMar>
          </w:tcPr>
          <w:p>
            <w:r>
              <w:rPr>
                <w:rFonts w:ascii="Arial" w:hAnsi="Arial"/>
                <w:color w:val="1C1917"/>
                <w:sz w:val="16"/>
              </w:rPr>
              <w:t>約 NT$ 15,000,000 (USD $476k)</w:t>
            </w:r>
          </w:p>
        </w:tc>
        <w:tc>
          <w:tcPr>
            <w:tcW w:type="dxa" w:w="2592"/>
            <w:shd w:fill="FFFFFF"/>
            <w:tcMar>
              <w:top w:w="60" w:type="dxa"/>
              <w:bottom w:w="60" w:type="dxa"/>
              <w:left w:w="100" w:type="dxa"/>
              <w:right w:w="100" w:type="dxa"/>
            </w:tcMar>
          </w:tcPr>
          <w:p>
            <w:r>
              <w:rPr>
                <w:rFonts w:ascii="Arial" w:hAnsi="Arial"/>
                <w:color w:val="1C1917"/>
                <w:sz w:val="16"/>
              </w:rPr>
              <w:t>約 NT$ 30,000,000 (USD $952k)</w:t>
            </w:r>
          </w:p>
        </w:tc>
        <w:tc>
          <w:tcPr>
            <w:tcW w:type="dxa" w:w="2304"/>
            <w:shd w:fill="FFFFFF"/>
            <w:tcMar>
              <w:top w:w="60" w:type="dxa"/>
              <w:bottom w:w="60" w:type="dxa"/>
              <w:left w:w="100" w:type="dxa"/>
              <w:right w:w="100" w:type="dxa"/>
            </w:tcMar>
          </w:tcPr>
          <w:p>
            <w:r>
              <w:rPr>
                <w:rFonts w:ascii="Arial" w:hAnsi="Arial"/>
                <w:color w:val="1C1917"/>
                <w:sz w:val="16"/>
              </w:rPr>
              <w:t>實質防禦現貨違約金支出 (Hard Dollar)。</w:t>
            </w:r>
          </w:p>
        </w:tc>
      </w:tr>
      <w:tr>
        <w:tc>
          <w:tcPr>
            <w:tcW w:type="dxa" w:w="3168"/>
            <w:shd w:fill="FAFAF9"/>
            <w:tcMar>
              <w:top w:w="60" w:type="dxa"/>
              <w:bottom w:w="60" w:type="dxa"/>
              <w:left w:w="100" w:type="dxa"/>
              <w:right w:w="100" w:type="dxa"/>
            </w:tcMar>
          </w:tcPr>
          <w:p>
            <w:r>
              <w:rPr>
                <w:rFonts w:ascii="Arial" w:hAnsi="Arial"/>
                <w:color w:val="1C1917"/>
                <w:sz w:val="16"/>
              </w:rPr>
              <w:t>大貨布料採購節省</w:t>
            </w:r>
          </w:p>
        </w:tc>
        <w:tc>
          <w:tcPr>
            <w:tcW w:type="dxa" w:w="2592"/>
            <w:shd w:fill="FAFAF9"/>
            <w:tcMar>
              <w:top w:w="60" w:type="dxa"/>
              <w:bottom w:w="60" w:type="dxa"/>
              <w:left w:w="100" w:type="dxa"/>
              <w:right w:w="100" w:type="dxa"/>
            </w:tcMar>
          </w:tcPr>
          <w:p>
            <w:r>
              <w:rPr>
                <w:rFonts w:ascii="Arial" w:hAnsi="Arial"/>
                <w:color w:val="1C1917"/>
                <w:sz w:val="16"/>
              </w:rPr>
              <w:t>約 NT$ 22,050,000 (USD $700k)</w:t>
            </w:r>
          </w:p>
        </w:tc>
        <w:tc>
          <w:tcPr>
            <w:tcW w:type="dxa" w:w="2592"/>
            <w:shd w:fill="FAFAF9"/>
            <w:tcMar>
              <w:top w:w="60" w:type="dxa"/>
              <w:bottom w:w="60" w:type="dxa"/>
              <w:left w:w="100" w:type="dxa"/>
              <w:right w:w="100" w:type="dxa"/>
            </w:tcMar>
          </w:tcPr>
          <w:p>
            <w:r>
              <w:rPr>
                <w:rFonts w:ascii="Arial" w:hAnsi="Arial"/>
                <w:color w:val="1C1917"/>
                <w:sz w:val="16"/>
              </w:rPr>
              <w:t>約 NT$ 45,900,000 (USD $1.45M)</w:t>
            </w:r>
          </w:p>
        </w:tc>
        <w:tc>
          <w:tcPr>
            <w:tcW w:type="dxa" w:w="2304"/>
            <w:shd w:fill="FAFAF9"/>
            <w:tcMar>
              <w:top w:w="60" w:type="dxa"/>
              <w:bottom w:w="60" w:type="dxa"/>
              <w:left w:w="100" w:type="dxa"/>
              <w:right w:w="100" w:type="dxa"/>
            </w:tcMar>
          </w:tcPr>
          <w:p>
            <w:r>
              <w:rPr>
                <w:rFonts w:ascii="Arial" w:hAnsi="Arial"/>
                <w:color w:val="1C1917"/>
                <w:sz w:val="16"/>
              </w:rPr>
              <w:t>直接降低採購主料營業成本 (COGS)。</w:t>
            </w:r>
          </w:p>
        </w:tc>
      </w:tr>
      <w:tr>
        <w:tc>
          <w:tcPr>
            <w:tcW w:type="dxa" w:w="3168"/>
            <w:shd w:fill="FFFFFF"/>
            <w:tcMar>
              <w:top w:w="60" w:type="dxa"/>
              <w:bottom w:w="60" w:type="dxa"/>
              <w:left w:w="100" w:type="dxa"/>
              <w:right w:w="100" w:type="dxa"/>
            </w:tcMar>
          </w:tcPr>
          <w:p>
            <w:r>
              <w:rPr>
                <w:rFonts w:ascii="Arial" w:hAnsi="Arial"/>
                <w:color w:val="1C1917"/>
                <w:sz w:val="16"/>
              </w:rPr>
              <w:t>年度總節省現金流</w:t>
            </w:r>
          </w:p>
        </w:tc>
        <w:tc>
          <w:tcPr>
            <w:tcW w:type="dxa" w:w="2592"/>
            <w:shd w:fill="FFFFFF"/>
            <w:tcMar>
              <w:top w:w="60" w:type="dxa"/>
              <w:bottom w:w="60" w:type="dxa"/>
              <w:left w:w="100" w:type="dxa"/>
              <w:right w:w="100" w:type="dxa"/>
            </w:tcMar>
          </w:tcPr>
          <w:p>
            <w:r>
              <w:rPr>
                <w:rFonts w:ascii="Arial" w:hAnsi="Arial"/>
                <w:color w:val="1C1917"/>
                <w:sz w:val="16"/>
              </w:rPr>
              <w:t>NT$ 37,050,000 / 年</w:t>
            </w:r>
          </w:p>
        </w:tc>
        <w:tc>
          <w:tcPr>
            <w:tcW w:type="dxa" w:w="2592"/>
            <w:shd w:fill="FFFFFF"/>
            <w:tcMar>
              <w:top w:w="60" w:type="dxa"/>
              <w:bottom w:w="60" w:type="dxa"/>
              <w:left w:w="100" w:type="dxa"/>
              <w:right w:w="100" w:type="dxa"/>
            </w:tcMar>
          </w:tcPr>
          <w:p>
            <w:r>
              <w:rPr>
                <w:rFonts w:ascii="Arial" w:hAnsi="Arial"/>
                <w:color w:val="1C1917"/>
                <w:sz w:val="16"/>
              </w:rPr>
              <w:t>NT$ 75,900,000 / 年</w:t>
            </w:r>
          </w:p>
        </w:tc>
        <w:tc>
          <w:tcPr>
            <w:tcW w:type="dxa" w:w="2304"/>
            <w:shd w:fill="FFFFFF"/>
            <w:tcMar>
              <w:top w:w="60" w:type="dxa"/>
              <w:bottom w:w="60" w:type="dxa"/>
              <w:left w:w="100" w:type="dxa"/>
              <w:right w:w="100" w:type="dxa"/>
            </w:tcMar>
          </w:tcPr>
          <w:p>
            <w:r>
              <w:rPr>
                <w:rFonts w:ascii="Arial" w:hAnsi="Arial"/>
                <w:color w:val="1C1917"/>
                <w:sz w:val="16"/>
              </w:rPr>
              <w:t>全集團硬性現金節省合計 (Hard Dollar Savings)。</w:t>
            </w:r>
          </w:p>
        </w:tc>
      </w:tr>
      <w:tr>
        <w:tc>
          <w:tcPr>
            <w:tcW w:type="dxa" w:w="3168"/>
            <w:shd w:fill="FAFAF9"/>
            <w:tcMar>
              <w:top w:w="60" w:type="dxa"/>
              <w:bottom w:w="60" w:type="dxa"/>
              <w:left w:w="100" w:type="dxa"/>
              <w:right w:w="100" w:type="dxa"/>
            </w:tcMar>
          </w:tcPr>
          <w:p>
            <w:r>
              <w:rPr>
                <w:rFonts w:ascii="Arial" w:hAnsi="Arial"/>
                <w:color w:val="1C1917"/>
                <w:sz w:val="16"/>
              </w:rPr>
              <w:t>全額投資回收期 (Payback)</w:t>
            </w:r>
          </w:p>
        </w:tc>
        <w:tc>
          <w:tcPr>
            <w:tcW w:type="dxa" w:w="2592"/>
            <w:shd w:fill="FAFAF9"/>
            <w:tcMar>
              <w:top w:w="60" w:type="dxa"/>
              <w:bottom w:w="60" w:type="dxa"/>
              <w:left w:w="100" w:type="dxa"/>
              <w:right w:w="100" w:type="dxa"/>
            </w:tcMar>
          </w:tcPr>
          <w:p>
            <w:r>
              <w:rPr>
                <w:rFonts w:ascii="Arial" w:hAnsi="Arial"/>
                <w:color w:val="1C1917"/>
                <w:sz w:val="16"/>
              </w:rPr>
              <w:t>6.5 個月 (急速回本)</w:t>
            </w:r>
          </w:p>
        </w:tc>
        <w:tc>
          <w:tcPr>
            <w:tcW w:type="dxa" w:w="2592"/>
            <w:shd w:fill="FAFAF9"/>
            <w:tcMar>
              <w:top w:w="60" w:type="dxa"/>
              <w:bottom w:w="60" w:type="dxa"/>
              <w:left w:w="100" w:type="dxa"/>
              <w:right w:w="100" w:type="dxa"/>
            </w:tcMar>
          </w:tcPr>
          <w:p>
            <w:r>
              <w:rPr>
                <w:rFonts w:ascii="Arial" w:hAnsi="Arial"/>
                <w:color w:val="1C1917"/>
                <w:sz w:val="16"/>
              </w:rPr>
              <w:t>3.2 個月 (極致回收)</w:t>
            </w:r>
          </w:p>
        </w:tc>
        <w:tc>
          <w:tcPr>
            <w:tcW w:type="dxa" w:w="2304"/>
            <w:shd w:fill="FAFAF9"/>
            <w:tcMar>
              <w:top w:w="60" w:type="dxa"/>
              <w:bottom w:w="60" w:type="dxa"/>
              <w:left w:w="100" w:type="dxa"/>
              <w:right w:w="100" w:type="dxa"/>
            </w:tcMar>
          </w:tcPr>
          <w:p>
            <w:r>
              <w:rPr>
                <w:rFonts w:ascii="Arial" w:hAnsi="Arial"/>
                <w:color w:val="1C1917"/>
                <w:sz w:val="16"/>
              </w:rPr>
              <w:t>總投資 NT$2,016 萬 ÷ 年度節省現金流。</w:t>
            </w:r>
          </w:p>
        </w:tc>
      </w:tr>
      <w:tr>
        <w:tc>
          <w:tcPr>
            <w:tcW w:type="dxa" w:w="3168"/>
            <w:shd w:fill="FFFFFF"/>
            <w:tcMar>
              <w:top w:w="60" w:type="dxa"/>
              <w:bottom w:w="60" w:type="dxa"/>
              <w:left w:w="100" w:type="dxa"/>
              <w:right w:w="100" w:type="dxa"/>
            </w:tcMar>
          </w:tcPr>
          <w:p>
            <w:r>
              <w:rPr>
                <w:rFonts w:ascii="Arial" w:hAnsi="Arial"/>
                <w:color w:val="1C1917"/>
                <w:sz w:val="16"/>
              </w:rPr>
              <w:t>整體投資報酬率 (ROI)</w:t>
            </w:r>
          </w:p>
        </w:tc>
        <w:tc>
          <w:tcPr>
            <w:tcW w:type="dxa" w:w="2592"/>
            <w:shd w:fill="FFFFFF"/>
            <w:tcMar>
              <w:top w:w="60" w:type="dxa"/>
              <w:bottom w:w="60" w:type="dxa"/>
              <w:left w:w="100" w:type="dxa"/>
              <w:right w:w="100" w:type="dxa"/>
            </w:tcMar>
          </w:tcPr>
          <w:p>
            <w:r>
              <w:rPr>
                <w:rFonts w:ascii="Arial" w:hAnsi="Arial"/>
                <w:color w:val="1C1917"/>
                <w:sz w:val="16"/>
              </w:rPr>
              <w:t>1 : 1.84 (投 1 元回收 1.84 元)</w:t>
            </w:r>
          </w:p>
        </w:tc>
        <w:tc>
          <w:tcPr>
            <w:tcW w:type="dxa" w:w="2592"/>
            <w:shd w:fill="FFFFFF"/>
            <w:tcMar>
              <w:top w:w="60" w:type="dxa"/>
              <w:bottom w:w="60" w:type="dxa"/>
              <w:left w:w="100" w:type="dxa"/>
              <w:right w:w="100" w:type="dxa"/>
            </w:tcMar>
          </w:tcPr>
          <w:p>
            <w:r>
              <w:rPr>
                <w:rFonts w:ascii="Arial" w:hAnsi="Arial"/>
                <w:color w:val="1C1917"/>
                <w:sz w:val="16"/>
              </w:rPr>
              <w:t>1 : 3.76 (超額回報)</w:t>
            </w:r>
          </w:p>
        </w:tc>
        <w:tc>
          <w:tcPr>
            <w:tcW w:type="dxa" w:w="2304"/>
            <w:shd w:fill="FFFFFF"/>
            <w:tcMar>
              <w:top w:w="60" w:type="dxa"/>
              <w:bottom w:w="60" w:type="dxa"/>
              <w:left w:w="100" w:type="dxa"/>
              <w:right w:w="100" w:type="dxa"/>
            </w:tcMar>
          </w:tcPr>
          <w:p>
            <w:r>
              <w:rPr>
                <w:rFonts w:ascii="Arial" w:hAnsi="Arial"/>
                <w:color w:val="1C1917"/>
                <w:sz w:val="16"/>
              </w:rPr>
              <w:t>扣除投資後之純現金利益比率。</w:t>
            </w:r>
          </w:p>
        </w:tc>
      </w:tr>
    </w:tbl>
    <w:p>
      <w:pPr>
        <w:spacing w:after="80"/>
      </w:pPr>
    </w:p>
    <w:p>
      <w:r>
        <w:br w:type="page"/>
      </w:r>
    </w:p>
    <w:p>
      <w:pPr>
        <w:spacing w:before="160" w:after="80"/>
      </w:pPr>
      <w:r>
        <w:rPr>
          <w:rFonts w:ascii="Arial" w:hAnsi="Arial"/>
          <w:b/>
          <w:color w:val="D97706"/>
          <w:sz w:val="22"/>
        </w:rPr>
        <w:t xml:space="preserve">【執行摘要】 </w:t>
      </w:r>
      <w:r>
        <w:rPr>
          <w:rFonts w:ascii="Arial" w:hAnsi="Arial"/>
          <w:b/>
          <w:color w:val="A83212"/>
          <w:sz w:val="30"/>
        </w:rPr>
        <w:t>遺留事項追蹤、風險雷達矩陣與第二階段啟動準備</w:t>
      </w:r>
    </w:p>
    <w:p>
      <w:pPr>
        <w:spacing w:before="0" w:after="200"/>
      </w:pPr>
      <w:r>
        <w:rPr>
          <w:rFonts w:ascii="Arial" w:hAnsi="Arial"/>
          <w:i/>
          <w:color w:val="78716C"/>
          <w:sz w:val="19"/>
        </w:rPr>
        <w:t>Executive Summary · Residual Risk Radar &amp; Phase 2 Gate Criteria</w:t>
      </w:r>
    </w:p>
    <w:p>
      <w:pPr>
        <w:spacing w:before="0" w:after="120" w:line="276" w:lineRule="auto"/>
      </w:pPr>
      <w:r>
        <w:rPr>
          <w:rFonts w:ascii="Arial" w:hAnsi="Arial"/>
          <w:color w:val="1C1917"/>
          <w:sz w:val="19"/>
        </w:rPr>
        <w:t>第一階段顧問服務圓滿達成預期目標，但考量跨國工廠實體環境之複雜性，後續推進第二階段（Pillar II 營運流程整合、Pillar III 智能決策、Pillar IV 智慧製造）時，必須嚴格遵守決策閘門（Gate D04 / D06），確保前置條件 100% 齊套後始能解鎖大型採購。</w:t>
      </w:r>
    </w:p>
    <w:tbl>
      <w:tblPr>
        <w:tblW w:type="auto" w:w="0"/>
        <w:jc w:val="center"/>
        <w:tblLook w:firstColumn="1" w:firstRow="1" w:lastColumn="0" w:lastRow="0" w:noHBand="0" w:noVBand="1" w:val="04A0"/>
      </w:tblPr>
      <w:tblGrid>
        <w:gridCol w:w="2412"/>
        <w:gridCol w:w="2412"/>
        <w:gridCol w:w="2412"/>
        <w:gridCol w:w="2412"/>
      </w:tblGrid>
      <w:tr>
        <w:tc>
          <w:tcPr>
            <w:tcW w:type="dxa" w:w="3168"/>
            <w:shd w:fill="F5EFEB"/>
            <w:tcMar>
              <w:top w:w="80" w:type="dxa"/>
              <w:bottom w:w="80" w:type="dxa"/>
              <w:left w:w="100" w:type="dxa"/>
              <w:right w:w="100" w:type="dxa"/>
            </w:tcMar>
          </w:tcPr>
          <w:p>
            <w:r>
              <w:rPr>
                <w:rFonts w:ascii="Arial" w:hAnsi="Arial"/>
                <w:b/>
                <w:color w:val="A83212"/>
                <w:sz w:val="17"/>
              </w:rPr>
              <w:t>重大風險項目</w:t>
            </w:r>
          </w:p>
        </w:tc>
        <w:tc>
          <w:tcPr>
            <w:tcW w:type="dxa" w:w="1584"/>
            <w:shd w:fill="F5EFEB"/>
            <w:tcMar>
              <w:top w:w="80" w:type="dxa"/>
              <w:bottom w:w="80" w:type="dxa"/>
              <w:left w:w="100" w:type="dxa"/>
              <w:right w:w="100" w:type="dxa"/>
            </w:tcMar>
          </w:tcPr>
          <w:p>
            <w:r>
              <w:rPr>
                <w:rFonts w:ascii="Arial" w:hAnsi="Arial"/>
                <w:b/>
                <w:color w:val="A83212"/>
                <w:sz w:val="17"/>
              </w:rPr>
              <w:t>風險評級</w:t>
            </w:r>
          </w:p>
        </w:tc>
        <w:tc>
          <w:tcPr>
            <w:tcW w:type="dxa" w:w="3168"/>
            <w:shd w:fill="F5EFEB"/>
            <w:tcMar>
              <w:top w:w="80" w:type="dxa"/>
              <w:bottom w:w="80" w:type="dxa"/>
              <w:left w:w="100" w:type="dxa"/>
              <w:right w:w="100" w:type="dxa"/>
            </w:tcMar>
          </w:tcPr>
          <w:p>
            <w:r>
              <w:rPr>
                <w:rFonts w:ascii="Arial" w:hAnsi="Arial"/>
                <w:b/>
                <w:color w:val="A83212"/>
                <w:sz w:val="17"/>
              </w:rPr>
              <w:t>現行緩解對策與管制機制</w:t>
            </w:r>
          </w:p>
        </w:tc>
        <w:tc>
          <w:tcPr>
            <w:tcW w:type="dxa" w:w="2736"/>
            <w:shd w:fill="F5EFEB"/>
            <w:tcMar>
              <w:top w:w="80" w:type="dxa"/>
              <w:bottom w:w="80" w:type="dxa"/>
              <w:left w:w="100" w:type="dxa"/>
              <w:right w:w="100" w:type="dxa"/>
            </w:tcMar>
          </w:tcPr>
          <w:p>
            <w:r>
              <w:rPr>
                <w:rFonts w:ascii="Arial" w:hAnsi="Arial"/>
                <w:b/>
                <w:color w:val="A83212"/>
                <w:sz w:val="17"/>
              </w:rPr>
              <w:t>後續解鎖啟動條件 (Gate Criteria)</w:t>
            </w:r>
          </w:p>
        </w:tc>
      </w:tr>
      <w:tr>
        <w:tc>
          <w:tcPr>
            <w:tcW w:type="dxa" w:w="3168"/>
            <w:shd w:fill="FFFFFF"/>
            <w:tcMar>
              <w:top w:w="60" w:type="dxa"/>
              <w:bottom w:w="60" w:type="dxa"/>
              <w:left w:w="100" w:type="dxa"/>
              <w:right w:w="100" w:type="dxa"/>
            </w:tcMar>
          </w:tcPr>
          <w:p>
            <w:r>
              <w:rPr>
                <w:rFonts w:ascii="Arial" w:hAnsi="Arial"/>
                <w:color w:val="1C1917"/>
                <w:sz w:val="16"/>
              </w:rPr>
              <w:t>總部 450 萬 AI 主機過早投入</w:t>
              <w:br/>
              <w:t>導致前期算力閒置與年折舊</w:t>
            </w:r>
          </w:p>
        </w:tc>
        <w:tc>
          <w:tcPr>
            <w:tcW w:type="dxa" w:w="1584"/>
            <w:shd w:fill="FFFFFF"/>
            <w:tcMar>
              <w:top w:w="60" w:type="dxa"/>
              <w:bottom w:w="60" w:type="dxa"/>
              <w:left w:w="100" w:type="dxa"/>
              <w:right w:w="100" w:type="dxa"/>
            </w:tcMar>
          </w:tcPr>
          <w:p>
            <w:r>
              <w:rPr>
                <w:rFonts w:ascii="Arial" w:hAnsi="Arial"/>
                <w:color w:val="1C1917"/>
                <w:sz w:val="16"/>
              </w:rPr>
              <w:t>高風險</w:t>
              <w:br/>
              <w:t>(財務面)</w:t>
            </w:r>
          </w:p>
        </w:tc>
        <w:tc>
          <w:tcPr>
            <w:tcW w:type="dxa" w:w="3168"/>
            <w:shd w:fill="FFFFFF"/>
            <w:tcMar>
              <w:top w:w="60" w:type="dxa"/>
              <w:bottom w:w="60" w:type="dxa"/>
              <w:left w:w="100" w:type="dxa"/>
              <w:right w:w="100" w:type="dxa"/>
            </w:tcMar>
          </w:tcPr>
          <w:p>
            <w:r>
              <w:rPr>
                <w:rFonts w:ascii="Arial" w:hAnsi="Arial"/>
                <w:color w:val="1C1917"/>
                <w:sz w:val="16"/>
              </w:rPr>
              <w:t>採『預算保留額度、採購分段解鎖』；2027 上半年繼續走 AWS 彈性租用 (年費 30~50萬)。</w:t>
            </w:r>
          </w:p>
        </w:tc>
        <w:tc>
          <w:tcPr>
            <w:tcW w:type="dxa" w:w="2736"/>
            <w:shd w:fill="FFFFFF"/>
            <w:tcMar>
              <w:top w:w="60" w:type="dxa"/>
              <w:bottom w:w="60" w:type="dxa"/>
              <w:left w:w="100" w:type="dxa"/>
              <w:right w:w="100" w:type="dxa"/>
            </w:tcMar>
          </w:tcPr>
          <w:p>
            <w:r>
              <w:rPr>
                <w:rFonts w:ascii="Arial" w:hAnsi="Arial"/>
                <w:color w:val="1C1917"/>
                <w:sz w:val="16"/>
              </w:rPr>
              <w:t>下半年業務呼叫量達門檻、自建 TCO 明顯低於雲端時，始下單實體主機。</w:t>
            </w:r>
          </w:p>
        </w:tc>
      </w:tr>
      <w:tr>
        <w:tc>
          <w:tcPr>
            <w:tcW w:type="dxa" w:w="3168"/>
            <w:shd w:fill="FAFAF9"/>
            <w:tcMar>
              <w:top w:w="60" w:type="dxa"/>
              <w:bottom w:w="60" w:type="dxa"/>
              <w:left w:w="100" w:type="dxa"/>
              <w:right w:w="100" w:type="dxa"/>
            </w:tcMar>
          </w:tcPr>
          <w:p>
            <w:r>
              <w:rPr>
                <w:rFonts w:ascii="Arial" w:hAnsi="Arial"/>
                <w:color w:val="1C1917"/>
                <w:sz w:val="16"/>
              </w:rPr>
              <w:t>微軟 2026-11-30 停用舊版</w:t>
              <w:br/>
              <w:t>Export to Data Lake 服務</w:t>
            </w:r>
          </w:p>
        </w:tc>
        <w:tc>
          <w:tcPr>
            <w:tcW w:type="dxa" w:w="1584"/>
            <w:shd w:fill="FAFAF9"/>
            <w:tcMar>
              <w:top w:w="60" w:type="dxa"/>
              <w:bottom w:w="60" w:type="dxa"/>
              <w:left w:w="100" w:type="dxa"/>
              <w:right w:w="100" w:type="dxa"/>
            </w:tcMar>
          </w:tcPr>
          <w:p>
            <w:r>
              <w:rPr>
                <w:rFonts w:ascii="Arial" w:hAnsi="Arial"/>
                <w:color w:val="1C1917"/>
                <w:sz w:val="16"/>
              </w:rPr>
              <w:t>極高風險</w:t>
              <w:br/>
              <w:t>(維運面)</w:t>
            </w:r>
          </w:p>
        </w:tc>
        <w:tc>
          <w:tcPr>
            <w:tcW w:type="dxa" w:w="3168"/>
            <w:shd w:fill="FAFAF9"/>
            <w:tcMar>
              <w:top w:w="60" w:type="dxa"/>
              <w:bottom w:w="60" w:type="dxa"/>
              <w:left w:w="100" w:type="dxa"/>
              <w:right w:w="100" w:type="dxa"/>
            </w:tcMar>
          </w:tcPr>
          <w:p>
            <w:r>
              <w:rPr>
                <w:rFonts w:ascii="Arial" w:hAnsi="Arial"/>
                <w:color w:val="1C1917"/>
                <w:sz w:val="16"/>
              </w:rPr>
              <w:t>第一階段已完成架構規劃，評估全面遷移至 Azure Synapse Link 或 Link to Microsoft Fabric。</w:t>
            </w:r>
          </w:p>
        </w:tc>
        <w:tc>
          <w:tcPr>
            <w:tcW w:type="dxa" w:w="2736"/>
            <w:shd w:fill="FAFAF9"/>
            <w:tcMar>
              <w:top w:w="60" w:type="dxa"/>
              <w:bottom w:w="60" w:type="dxa"/>
              <w:left w:w="100" w:type="dxa"/>
              <w:right w:w="100" w:type="dxa"/>
            </w:tcMar>
          </w:tcPr>
          <w:p>
            <w:r>
              <w:rPr>
                <w:rFonts w:ascii="Arial" w:hAnsi="Arial"/>
                <w:color w:val="1C1917"/>
                <w:sz w:val="16"/>
              </w:rPr>
              <w:t>由 ERP 團隊與微軟 SI 於 2027 Q1 完成生產環境平滑切換驗證。</w:t>
            </w:r>
          </w:p>
        </w:tc>
      </w:tr>
      <w:tr>
        <w:tc>
          <w:tcPr>
            <w:tcW w:type="dxa" w:w="3168"/>
            <w:shd w:fill="FFFFFF"/>
            <w:tcMar>
              <w:top w:w="60" w:type="dxa"/>
              <w:bottom w:w="60" w:type="dxa"/>
              <w:left w:w="100" w:type="dxa"/>
              <w:right w:w="100" w:type="dxa"/>
            </w:tcMar>
          </w:tcPr>
          <w:p>
            <w:r>
              <w:rPr>
                <w:rFonts w:ascii="Arial" w:hAnsi="Arial"/>
                <w:color w:val="1C1917"/>
                <w:sz w:val="16"/>
              </w:rPr>
              <w:t>RD Sample 系統相依於已淘汰</w:t>
              <w:br/>
              <w:t>之 Knockout.js 框架</w:t>
            </w:r>
          </w:p>
        </w:tc>
        <w:tc>
          <w:tcPr>
            <w:tcW w:type="dxa" w:w="1584"/>
            <w:shd w:fill="FFFFFF"/>
            <w:tcMar>
              <w:top w:w="60" w:type="dxa"/>
              <w:bottom w:w="60" w:type="dxa"/>
              <w:left w:w="100" w:type="dxa"/>
              <w:right w:w="100" w:type="dxa"/>
            </w:tcMar>
          </w:tcPr>
          <w:p>
            <w:r>
              <w:rPr>
                <w:rFonts w:ascii="Arial" w:hAnsi="Arial"/>
                <w:color w:val="1C1917"/>
                <w:sz w:val="16"/>
              </w:rPr>
              <w:t>中高風險</w:t>
              <w:br/>
              <w:t>(技術債)</w:t>
            </w:r>
          </w:p>
        </w:tc>
        <w:tc>
          <w:tcPr>
            <w:tcW w:type="dxa" w:w="3168"/>
            <w:shd w:fill="FFFFFF"/>
            <w:tcMar>
              <w:top w:w="60" w:type="dxa"/>
              <w:bottom w:w="60" w:type="dxa"/>
              <w:left w:w="100" w:type="dxa"/>
              <w:right w:w="100" w:type="dxa"/>
            </w:tcMar>
          </w:tcPr>
          <w:p>
            <w:r>
              <w:rPr>
                <w:rFonts w:ascii="Arial" w:hAnsi="Arial"/>
                <w:color w:val="1C1917"/>
                <w:sz w:val="16"/>
              </w:rPr>
              <w:t>已完成代碼走查與技術體檢；第一階段以 CQS (.NET 8) 作為燈塔，避免污染新專案。</w:t>
            </w:r>
          </w:p>
        </w:tc>
        <w:tc>
          <w:tcPr>
            <w:tcW w:type="dxa" w:w="2736"/>
            <w:shd w:fill="FFFFFF"/>
            <w:tcMar>
              <w:top w:w="60" w:type="dxa"/>
              <w:bottom w:w="60" w:type="dxa"/>
              <w:left w:w="100" w:type="dxa"/>
              <w:right w:w="100" w:type="dxa"/>
            </w:tcMar>
          </w:tcPr>
          <w:p>
            <w:r>
              <w:rPr>
                <w:rFonts w:ascii="Arial" w:hAnsi="Arial"/>
                <w:color w:val="1C1917"/>
                <w:sz w:val="16"/>
              </w:rPr>
              <w:t>第二階段藉助 AI Coding 自動化轉譯工具，逐步重構為現代 Vue 3 架構。</w:t>
            </w:r>
          </w:p>
        </w:tc>
      </w:tr>
      <w:tr>
        <w:tc>
          <w:tcPr>
            <w:tcW w:type="dxa" w:w="3168"/>
            <w:shd w:fill="FAFAF9"/>
            <w:tcMar>
              <w:top w:w="60" w:type="dxa"/>
              <w:bottom w:w="60" w:type="dxa"/>
              <w:left w:w="100" w:type="dxa"/>
              <w:right w:w="100" w:type="dxa"/>
            </w:tcMar>
          </w:tcPr>
          <w:p>
            <w:r>
              <w:rPr>
                <w:rFonts w:ascii="Arial" w:hAnsi="Arial"/>
                <w:color w:val="1C1917"/>
                <w:sz w:val="16"/>
              </w:rPr>
              <w:t>海外三廠現場環境惡劣</w:t>
              <w:br/>
              <w:t>高溫粉塵導致邊緣主機損壞</w:t>
            </w:r>
          </w:p>
        </w:tc>
        <w:tc>
          <w:tcPr>
            <w:tcW w:type="dxa" w:w="1584"/>
            <w:shd w:fill="FAFAF9"/>
            <w:tcMar>
              <w:top w:w="60" w:type="dxa"/>
              <w:bottom w:w="60" w:type="dxa"/>
              <w:left w:w="100" w:type="dxa"/>
              <w:right w:w="100" w:type="dxa"/>
            </w:tcMar>
          </w:tcPr>
          <w:p>
            <w:r>
              <w:rPr>
                <w:rFonts w:ascii="Arial" w:hAnsi="Arial"/>
                <w:color w:val="1C1917"/>
                <w:sz w:val="16"/>
              </w:rPr>
              <w:t>中度風險</w:t>
              <w:br/>
              <w:t>(工程面)</w:t>
            </w:r>
          </w:p>
        </w:tc>
        <w:tc>
          <w:tcPr>
            <w:tcW w:type="dxa" w:w="3168"/>
            <w:shd w:fill="FAFAF9"/>
            <w:tcMar>
              <w:top w:w="60" w:type="dxa"/>
              <w:bottom w:w="60" w:type="dxa"/>
              <w:left w:w="100" w:type="dxa"/>
              <w:right w:w="100" w:type="dxa"/>
            </w:tcMar>
          </w:tcPr>
          <w:p>
            <w:r>
              <w:rPr>
                <w:rFonts w:ascii="Arial" w:hAnsi="Arial"/>
                <w:color w:val="1C1917"/>
                <w:sz w:val="16"/>
              </w:rPr>
              <w:t>淘汰一般商業主機，全數選用無風扇、防粉塵之研華/華碩 ASUS Ascent GX10 工控機。</w:t>
            </w:r>
          </w:p>
        </w:tc>
        <w:tc>
          <w:tcPr>
            <w:tcW w:type="dxa" w:w="2736"/>
            <w:shd w:fill="FAFAF9"/>
            <w:tcMar>
              <w:top w:w="60" w:type="dxa"/>
              <w:bottom w:w="60" w:type="dxa"/>
              <w:left w:w="100" w:type="dxa"/>
              <w:right w:w="100" w:type="dxa"/>
            </w:tcMar>
          </w:tcPr>
          <w:p>
            <w:r>
              <w:rPr>
                <w:rFonts w:ascii="Arial" w:hAnsi="Arial"/>
                <w:color w:val="1C1917"/>
                <w:sz w:val="16"/>
              </w:rPr>
              <w:t>完成越南隆安示範旗艦廠 30 天無故障高溫實測後，推廣至柬埔寨與印尼。</w:t>
            </w:r>
          </w:p>
        </w:tc>
      </w:tr>
    </w:tbl>
    <w:p>
      <w:pPr>
        <w:spacing w:after="80"/>
      </w:pPr>
    </w:p>
    <w:p>
      <w:r>
        <w:br w:type="page"/>
      </w:r>
    </w:p>
    <w:p>
      <w:pPr>
        <w:spacing w:before="160" w:after="80"/>
      </w:pPr>
      <w:r>
        <w:rPr>
          <w:rFonts w:ascii="Arial" w:hAnsi="Arial"/>
          <w:b/>
          <w:color w:val="D97706"/>
          <w:sz w:val="22"/>
        </w:rPr>
        <w:t xml:space="preserve">【第一章：宏觀戰略】 </w:t>
      </w:r>
      <w:r>
        <w:rPr>
          <w:rFonts w:ascii="Arial" w:hAnsi="Arial"/>
          <w:b/>
          <w:color w:val="A83212"/>
          <w:sz w:val="30"/>
        </w:rPr>
        <w:t>1.1 跨國成衣製造之產業格局與數位轉型挑戰</w:t>
      </w:r>
    </w:p>
    <w:p>
      <w:pPr>
        <w:spacing w:before="0" w:after="200"/>
      </w:pPr>
      <w:r>
        <w:rPr>
          <w:rFonts w:ascii="Arial" w:hAnsi="Arial"/>
          <w:i/>
          <w:color w:val="78716C"/>
          <w:sz w:val="19"/>
        </w:rPr>
        <w:t>Global Apparel Manufacturing Trends, Geopolitical Shifts &amp; Digital Imperatives</w:t>
      </w:r>
    </w:p>
    <w:p>
      <w:pPr>
        <w:spacing w:before="0" w:after="120" w:line="276" w:lineRule="auto"/>
      </w:pPr>
      <w:r>
        <w:rPr>
          <w:rFonts w:ascii="Arial" w:hAnsi="Arial"/>
          <w:color w:val="1C1917"/>
          <w:sz w:val="19"/>
        </w:rPr>
        <w:t>全球機能成衣供應鏈近年面臨三大劇烈變革：品牌客戶（如 Nike, Lululemon, Under Armour）要求前置期（Lead Time）由傳統 90 天大幅壓縮至 30～45 天；訂單呈現『高頻、小量、多款式』的快時尚化趨勢；以及全球地緣政治推動供應鏈自中國全面移轉至東南亞（越南、柬埔寨、印尼）及南亞（孟加拉）。</w:t>
      </w:r>
    </w:p>
    <w:p>
      <w:pPr>
        <w:spacing w:before="0" w:after="120" w:line="276" w:lineRule="auto"/>
      </w:pPr>
      <w:r>
        <w:rPr>
          <w:rFonts w:ascii="Arial" w:hAnsi="Arial"/>
          <w:color w:val="1C1917"/>
          <w:sz w:val="19"/>
        </w:rPr>
        <w:t>信源全球作為國際頂級機能服飾製造龍頭，旗下擁有跨國數萬名員工與多座大型海外生產基地。過去依賴各廠資深廠長與技術幹部個人經驗的傳統管理模式，正面臨跨國溝通成本居高不下、外點數據回傳延遲、以及各廠標準工時（SAM）與良率難以一致的瓶頸。數位轉型已不再是單純的 IT 工具採購，而是集團能否在全球供應鏈洗牌中維持競爭優勢的生死戰役。</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【產業轉型核心洞察】</w:t>
              <w:br/>
            </w:r>
            <w:r>
              <w:rPr>
                <w:rFonts w:ascii="Arial" w:hAnsi="Arial"/>
                <w:color w:val="1C1917"/>
                <w:sz w:val="18"/>
              </w:rPr>
              <w:t>『快、準、穩』是現代成衣製造的核心基因。數位轉型的終極目標，是將老師傅腦袋裡的做工規範與排產直覺，轉化為全集團可共享、可稽核、可由 AI 協同調度的數位資產。</w:t>
            </w:r>
          </w:p>
        </w:tc>
      </w:tr>
    </w:tbl>
    <w:p>
      <w:pPr>
        <w:spacing w:after="80"/>
      </w:pPr>
    </w:p>
    <w:p>
      <w:r>
        <w:br w:type="page"/>
      </w:r>
    </w:p>
    <w:p>
      <w:pPr>
        <w:spacing w:before="160" w:after="80"/>
      </w:pPr>
      <w:r>
        <w:rPr>
          <w:rFonts w:ascii="Arial" w:hAnsi="Arial"/>
          <w:b/>
          <w:color w:val="D97706"/>
          <w:sz w:val="22"/>
        </w:rPr>
        <w:t xml:space="preserve">【第一章：宏觀戰略】 </w:t>
      </w:r>
      <w:r>
        <w:rPr>
          <w:rFonts w:ascii="Arial" w:hAnsi="Arial"/>
          <w:b/>
          <w:color w:val="A83212"/>
          <w:sz w:val="30"/>
        </w:rPr>
        <w:t>1.2 信源跨國工廠（越、柬、印、孟）痛點與斷網脆弱度分析</w:t>
      </w:r>
    </w:p>
    <w:p>
      <w:pPr>
        <w:spacing w:before="0" w:after="200"/>
      </w:pPr>
      <w:r>
        <w:rPr>
          <w:rFonts w:ascii="Arial" w:hAnsi="Arial"/>
          <w:i/>
          <w:color w:val="78716C"/>
          <w:sz w:val="19"/>
        </w:rPr>
        <w:t>Cross-Border Plant Realities, Subsea Cable Risks &amp; Network Bottlenecks</w:t>
      </w:r>
    </w:p>
    <w:p>
      <w:pPr>
        <w:spacing w:before="0" w:after="120" w:line="276" w:lineRule="auto"/>
      </w:pPr>
      <w:r>
        <w:rPr>
          <w:rFonts w:ascii="Arial" w:hAnsi="Arial"/>
          <w:color w:val="1C1917"/>
          <w:sz w:val="19"/>
        </w:rPr>
        <w:t>跨國多廠營運最大的物理現實是『國際網路連線品質極度不穩定』。東南亞地區跨國海底電纜（如 AAG, APG）平均每年發生 3～5 次非預期斷裂或檢修，每次修復往往耗時數週；加上跨國 SD-WAN 專線頻寬昂貴且延遲高，若系統架構採用傳統『所有工廠資料即時回傳總部』的集中式設計，將對生產線造成毀滅性打擊。</w:t>
      </w:r>
    </w:p>
    <w:tbl>
      <w:tblPr>
        <w:tblW w:type="auto" w:w="0"/>
        <w:jc w:val="center"/>
        <w:tblLook w:firstColumn="1" w:firstRow="1" w:lastColumn="0" w:lastRow="0" w:noHBand="0" w:noVBand="1" w:val="04A0"/>
      </w:tblPr>
      <w:tblGrid>
        <w:gridCol w:w="2412"/>
        <w:gridCol w:w="2412"/>
        <w:gridCol w:w="2412"/>
        <w:gridCol w:w="2412"/>
      </w:tblGrid>
      <w:tr>
        <w:tc>
          <w:tcPr>
            <w:tcW w:type="dxa" w:w="2304"/>
            <w:shd w:fill="F5EFEB"/>
            <w:tcMar>
              <w:top w:w="80" w:type="dxa"/>
              <w:bottom w:w="80" w:type="dxa"/>
              <w:left w:w="100" w:type="dxa"/>
              <w:right w:w="100" w:type="dxa"/>
            </w:tcMar>
          </w:tcPr>
          <w:p>
            <w:r>
              <w:rPr>
                <w:rFonts w:ascii="Arial" w:hAnsi="Arial"/>
                <w:b/>
                <w:color w:val="A83212"/>
                <w:sz w:val="17"/>
              </w:rPr>
              <w:t>海外廠區節點</w:t>
            </w:r>
          </w:p>
        </w:tc>
        <w:tc>
          <w:tcPr>
            <w:tcW w:type="dxa" w:w="2592"/>
            <w:shd w:fill="F5EFEB"/>
            <w:tcMar>
              <w:top w:w="80" w:type="dxa"/>
              <w:bottom w:w="80" w:type="dxa"/>
              <w:left w:w="100" w:type="dxa"/>
              <w:right w:w="100" w:type="dxa"/>
            </w:tcMar>
          </w:tcPr>
          <w:p>
            <w:r>
              <w:rPr>
                <w:rFonts w:ascii="Arial" w:hAnsi="Arial"/>
                <w:b/>
                <w:color w:val="A83212"/>
                <w:sz w:val="17"/>
              </w:rPr>
              <w:t>生產主力與規模</w:t>
            </w:r>
          </w:p>
        </w:tc>
        <w:tc>
          <w:tcPr>
            <w:tcW w:type="dxa" w:w="2592"/>
            <w:shd w:fill="F5EFEB"/>
            <w:tcMar>
              <w:top w:w="80" w:type="dxa"/>
              <w:bottom w:w="80" w:type="dxa"/>
              <w:left w:w="100" w:type="dxa"/>
              <w:right w:w="100" w:type="dxa"/>
            </w:tcMar>
          </w:tcPr>
          <w:p>
            <w:r>
              <w:rPr>
                <w:rFonts w:ascii="Arial" w:hAnsi="Arial"/>
                <w:b/>
                <w:color w:val="A83212"/>
                <w:sz w:val="17"/>
              </w:rPr>
              <w:t>網路基礎現況與痛點</w:t>
            </w:r>
          </w:p>
        </w:tc>
        <w:tc>
          <w:tcPr>
            <w:tcW w:type="dxa" w:w="2880"/>
            <w:shd w:fill="F5EFEB"/>
            <w:tcMar>
              <w:top w:w="80" w:type="dxa"/>
              <w:bottom w:w="80" w:type="dxa"/>
              <w:left w:w="100" w:type="dxa"/>
              <w:right w:w="100" w:type="dxa"/>
            </w:tcMar>
          </w:tcPr>
          <w:p>
            <w:r>
              <w:rPr>
                <w:rFonts w:ascii="Arial" w:hAnsi="Arial"/>
                <w:b/>
                <w:color w:val="A83212"/>
                <w:sz w:val="17"/>
              </w:rPr>
              <w:t>海底電纜中斷衝擊</w:t>
            </w:r>
          </w:p>
        </w:tc>
      </w:tr>
      <w:tr>
        <w:tc>
          <w:tcPr>
            <w:tcW w:type="dxa" w:w="2304"/>
            <w:shd w:fill="FFFFFF"/>
            <w:tcMar>
              <w:top w:w="60" w:type="dxa"/>
              <w:bottom w:w="60" w:type="dxa"/>
              <w:left w:w="100" w:type="dxa"/>
              <w:right w:w="100" w:type="dxa"/>
            </w:tcMar>
          </w:tcPr>
          <w:p>
            <w:r>
              <w:rPr>
                <w:rFonts w:ascii="Arial" w:hAnsi="Arial"/>
                <w:color w:val="1C1917"/>
                <w:sz w:val="16"/>
              </w:rPr>
              <w:t>越南隆安示範旗艦廠</w:t>
            </w:r>
          </w:p>
        </w:tc>
        <w:tc>
          <w:tcPr>
            <w:tcW w:type="dxa" w:w="2592"/>
            <w:shd w:fill="FFFFFF"/>
            <w:tcMar>
              <w:top w:w="60" w:type="dxa"/>
              <w:bottom w:w="60" w:type="dxa"/>
              <w:left w:w="100" w:type="dxa"/>
              <w:right w:w="100" w:type="dxa"/>
            </w:tcMar>
          </w:tcPr>
          <w:p>
            <w:r>
              <w:rPr>
                <w:rFonts w:ascii="Arial" w:hAnsi="Arial"/>
                <w:color w:val="1C1917"/>
                <w:sz w:val="16"/>
              </w:rPr>
              <w:t>高階貼合與無縫機能服</w:t>
              <w:br/>
              <w:t>(約 3,500 人 / 45 條產線)</w:t>
            </w:r>
          </w:p>
        </w:tc>
        <w:tc>
          <w:tcPr>
            <w:tcW w:type="dxa" w:w="2592"/>
            <w:shd w:fill="FFFFFF"/>
            <w:tcMar>
              <w:top w:w="60" w:type="dxa"/>
              <w:bottom w:w="60" w:type="dxa"/>
              <w:left w:w="100" w:type="dxa"/>
              <w:right w:w="100" w:type="dxa"/>
            </w:tcMar>
          </w:tcPr>
          <w:p>
            <w:r>
              <w:rPr>
                <w:rFonts w:ascii="Arial" w:hAnsi="Arial"/>
                <w:color w:val="1C1917"/>
                <w:sz w:val="16"/>
              </w:rPr>
              <w:t>總部專線 SD-WAN 30Mbps</w:t>
              <w:br/>
              <w:t>日間頻寬常態佔滿 85%+</w:t>
            </w:r>
          </w:p>
        </w:tc>
        <w:tc>
          <w:tcPr>
            <w:tcW w:type="dxa" w:w="2880"/>
            <w:shd w:fill="FFFFFF"/>
            <w:tcMar>
              <w:top w:w="60" w:type="dxa"/>
              <w:bottom w:w="60" w:type="dxa"/>
              <w:left w:w="100" w:type="dxa"/>
              <w:right w:w="100" w:type="dxa"/>
            </w:tcMar>
          </w:tcPr>
          <w:p>
            <w:r>
              <w:rPr>
                <w:rFonts w:ascii="Arial" w:hAnsi="Arial"/>
                <w:color w:val="1C1917"/>
                <w:sz w:val="16"/>
              </w:rPr>
              <w:t>若斷網無法回傳工單，車間吊掛系統停擺，每日延誤損失逾數十萬美元。</w:t>
            </w:r>
          </w:p>
        </w:tc>
      </w:tr>
      <w:tr>
        <w:tc>
          <w:tcPr>
            <w:tcW w:type="dxa" w:w="2304"/>
            <w:shd w:fill="FAFAF9"/>
            <w:tcMar>
              <w:top w:w="60" w:type="dxa"/>
              <w:bottom w:w="60" w:type="dxa"/>
              <w:left w:w="100" w:type="dxa"/>
              <w:right w:w="100" w:type="dxa"/>
            </w:tcMar>
          </w:tcPr>
          <w:p>
            <w:r>
              <w:rPr>
                <w:rFonts w:ascii="Arial" w:hAnsi="Arial"/>
                <w:color w:val="1C1917"/>
                <w:sz w:val="16"/>
              </w:rPr>
              <w:t>柬埔寨金邊二廠</w:t>
            </w:r>
          </w:p>
        </w:tc>
        <w:tc>
          <w:tcPr>
            <w:tcW w:type="dxa" w:w="2592"/>
            <w:shd w:fill="FAFAF9"/>
            <w:tcMar>
              <w:top w:w="60" w:type="dxa"/>
              <w:bottom w:w="60" w:type="dxa"/>
              <w:left w:w="100" w:type="dxa"/>
              <w:right w:w="100" w:type="dxa"/>
            </w:tcMar>
          </w:tcPr>
          <w:p>
            <w:r>
              <w:rPr>
                <w:rFonts w:ascii="Arial" w:hAnsi="Arial"/>
                <w:color w:val="1C1917"/>
                <w:sz w:val="16"/>
              </w:rPr>
              <w:t>針織運動休閒大貨生產</w:t>
              <w:br/>
              <w:t>(約 4,200 人 / 52 條產線)</w:t>
            </w:r>
          </w:p>
        </w:tc>
        <w:tc>
          <w:tcPr>
            <w:tcW w:type="dxa" w:w="2592"/>
            <w:shd w:fill="FAFAF9"/>
            <w:tcMar>
              <w:top w:w="60" w:type="dxa"/>
              <w:bottom w:w="60" w:type="dxa"/>
              <w:left w:w="100" w:type="dxa"/>
              <w:right w:w="100" w:type="dxa"/>
            </w:tcMar>
          </w:tcPr>
          <w:p>
            <w:r>
              <w:rPr>
                <w:rFonts w:ascii="Arial" w:hAnsi="Arial"/>
                <w:color w:val="1C1917"/>
                <w:sz w:val="16"/>
              </w:rPr>
              <w:t>本地電信穩定度欠佳</w:t>
              <w:br/>
              <w:t>雨季經常突發斷電斷網</w:t>
            </w:r>
          </w:p>
        </w:tc>
        <w:tc>
          <w:tcPr>
            <w:tcW w:type="dxa" w:w="2880"/>
            <w:shd w:fill="FAFAF9"/>
            <w:tcMar>
              <w:top w:w="60" w:type="dxa"/>
              <w:bottom w:w="60" w:type="dxa"/>
              <w:left w:w="100" w:type="dxa"/>
              <w:right w:w="100" w:type="dxa"/>
            </w:tcMar>
          </w:tcPr>
          <w:p>
            <w:r>
              <w:rPr>
                <w:rFonts w:ascii="Arial" w:hAnsi="Arial"/>
                <w:color w:val="1C1917"/>
                <w:sz w:val="16"/>
              </w:rPr>
              <w:t>現場裁片計件無法入帳，引發跨國勞資計件薪資核算爭端。</w:t>
            </w:r>
          </w:p>
        </w:tc>
      </w:tr>
      <w:tr>
        <w:tc>
          <w:tcPr>
            <w:tcW w:type="dxa" w:w="2304"/>
            <w:shd w:fill="FFFFFF"/>
            <w:tcMar>
              <w:top w:w="60" w:type="dxa"/>
              <w:bottom w:w="60" w:type="dxa"/>
              <w:left w:w="100" w:type="dxa"/>
              <w:right w:w="100" w:type="dxa"/>
            </w:tcMar>
          </w:tcPr>
          <w:p>
            <w:r>
              <w:rPr>
                <w:rFonts w:ascii="Arial" w:hAnsi="Arial"/>
                <w:color w:val="1C1917"/>
                <w:sz w:val="16"/>
              </w:rPr>
              <w:t>印尼中爪哇新擴廠</w:t>
            </w:r>
          </w:p>
        </w:tc>
        <w:tc>
          <w:tcPr>
            <w:tcW w:type="dxa" w:w="2592"/>
            <w:shd w:fill="FFFFFF"/>
            <w:tcMar>
              <w:top w:w="60" w:type="dxa"/>
              <w:bottom w:w="60" w:type="dxa"/>
              <w:left w:w="100" w:type="dxa"/>
              <w:right w:w="100" w:type="dxa"/>
            </w:tcMar>
          </w:tcPr>
          <w:p>
            <w:r>
              <w:rPr>
                <w:rFonts w:ascii="Arial" w:hAnsi="Arial"/>
                <w:color w:val="1C1917"/>
                <w:sz w:val="16"/>
              </w:rPr>
              <w:t>彈性高產量梭織夾克</w:t>
              <w:br/>
              <w:t>(約 2,800 人 / 36 條產線)</w:t>
            </w:r>
          </w:p>
        </w:tc>
        <w:tc>
          <w:tcPr>
            <w:tcW w:type="dxa" w:w="2592"/>
            <w:shd w:fill="FFFFFF"/>
            <w:tcMar>
              <w:top w:w="60" w:type="dxa"/>
              <w:bottom w:w="60" w:type="dxa"/>
              <w:left w:w="100" w:type="dxa"/>
              <w:right w:w="100" w:type="dxa"/>
            </w:tcMar>
          </w:tcPr>
          <w:p>
            <w:r>
              <w:rPr>
                <w:rFonts w:ascii="Arial" w:hAnsi="Arial"/>
                <w:color w:val="1C1917"/>
                <w:sz w:val="16"/>
              </w:rPr>
              <w:t>新廠區基建尚在成熟期</w:t>
              <w:br/>
              <w:t>跨國線路延遲常達 180ms+</w:t>
            </w:r>
          </w:p>
        </w:tc>
        <w:tc>
          <w:tcPr>
            <w:tcW w:type="dxa" w:w="2880"/>
            <w:shd w:fill="FFFFFF"/>
            <w:tcMar>
              <w:top w:w="60" w:type="dxa"/>
              <w:bottom w:w="60" w:type="dxa"/>
              <w:left w:w="100" w:type="dxa"/>
              <w:right w:w="100" w:type="dxa"/>
            </w:tcMar>
          </w:tcPr>
          <w:p>
            <w:r>
              <w:rPr>
                <w:rFonts w:ascii="Arial" w:hAnsi="Arial"/>
                <w:color w:val="1C1917"/>
                <w:sz w:val="16"/>
              </w:rPr>
              <w:t>ERP 連線逾時，生管無法掌握大貨開裁進度，釀成空運違約險。</w:t>
            </w:r>
          </w:p>
        </w:tc>
      </w:tr>
      <w:tr>
        <w:tc>
          <w:tcPr>
            <w:tcW w:type="dxa" w:w="2304"/>
            <w:shd w:fill="FAFAF9"/>
            <w:tcMar>
              <w:top w:w="60" w:type="dxa"/>
              <w:bottom w:w="60" w:type="dxa"/>
              <w:left w:w="100" w:type="dxa"/>
              <w:right w:w="100" w:type="dxa"/>
            </w:tcMar>
          </w:tcPr>
          <w:p>
            <w:r>
              <w:rPr>
                <w:rFonts w:ascii="Arial" w:hAnsi="Arial"/>
                <w:color w:val="1C1917"/>
                <w:sz w:val="16"/>
              </w:rPr>
              <w:t>孟加拉戰略合作廠</w:t>
            </w:r>
          </w:p>
        </w:tc>
        <w:tc>
          <w:tcPr>
            <w:tcW w:type="dxa" w:w="2592"/>
            <w:shd w:fill="FAFAF9"/>
            <w:tcMar>
              <w:top w:w="60" w:type="dxa"/>
              <w:bottom w:w="60" w:type="dxa"/>
              <w:left w:w="100" w:type="dxa"/>
              <w:right w:w="100" w:type="dxa"/>
            </w:tcMar>
          </w:tcPr>
          <w:p>
            <w:r>
              <w:rPr>
                <w:rFonts w:ascii="Arial" w:hAnsi="Arial"/>
                <w:color w:val="1C1917"/>
                <w:sz w:val="16"/>
              </w:rPr>
              <w:t>基礎防寒重裝與羽絨</w:t>
              <w:br/>
              <w:t>(約 1,800 人 / 24 條產線)</w:t>
            </w:r>
          </w:p>
        </w:tc>
        <w:tc>
          <w:tcPr>
            <w:tcW w:type="dxa" w:w="2592"/>
            <w:shd w:fill="FAFAF9"/>
            <w:tcMar>
              <w:top w:w="60" w:type="dxa"/>
              <w:bottom w:w="60" w:type="dxa"/>
              <w:left w:w="100" w:type="dxa"/>
              <w:right w:w="100" w:type="dxa"/>
            </w:tcMar>
          </w:tcPr>
          <w:p>
            <w:r>
              <w:rPr>
                <w:rFonts w:ascii="Arial" w:hAnsi="Arial"/>
                <w:color w:val="1C1917"/>
                <w:sz w:val="16"/>
              </w:rPr>
              <w:t>公網 VPN 撥接，丟包率高</w:t>
            </w:r>
          </w:p>
        </w:tc>
        <w:tc>
          <w:tcPr>
            <w:tcW w:type="dxa" w:w="2880"/>
            <w:shd w:fill="FAFAF9"/>
            <w:tcMar>
              <w:top w:w="60" w:type="dxa"/>
              <w:bottom w:w="60" w:type="dxa"/>
              <w:left w:w="100" w:type="dxa"/>
              <w:right w:w="100" w:type="dxa"/>
            </w:tcMar>
          </w:tcPr>
          <w:p>
            <w:r>
              <w:rPr>
                <w:rFonts w:ascii="Arial" w:hAnsi="Arial"/>
                <w:color w:val="1C1917"/>
                <w:sz w:val="16"/>
              </w:rPr>
              <w:t>技術工藝包（Tech Pack）圖檔傳輸中斷，延誤打樣時程。</w:t>
            </w:r>
          </w:p>
        </w:tc>
      </w:tr>
    </w:tbl>
    <w:p>
      <w:pPr>
        <w:spacing w:after="80"/>
      </w:pPr>
    </w:p>
    <w:p>
      <w:r>
        <w:br w:type="page"/>
      </w:r>
    </w:p>
    <w:p>
      <w:pPr>
        <w:spacing w:before="160" w:after="80"/>
      </w:pPr>
      <w:r>
        <w:rPr>
          <w:rFonts w:ascii="Arial" w:hAnsi="Arial"/>
          <w:b/>
          <w:color w:val="D97706"/>
          <w:sz w:val="22"/>
        </w:rPr>
        <w:t xml:space="preserve">【第一章：宏觀戰略】 </w:t>
      </w:r>
      <w:r>
        <w:rPr>
          <w:rFonts w:ascii="Arial" w:hAnsi="Arial"/>
          <w:b/>
          <w:color w:val="A83212"/>
          <w:sz w:val="30"/>
        </w:rPr>
        <w:t>1.3 蜂巢計畫（Project Hive）四大主架構戰略界定</w:t>
      </w:r>
    </w:p>
    <w:p>
      <w:pPr>
        <w:spacing w:before="0" w:after="200"/>
      </w:pPr>
      <w:r>
        <w:rPr>
          <w:rFonts w:ascii="Arial" w:hAnsi="Arial"/>
          <w:i/>
          <w:color w:val="78716C"/>
          <w:sz w:val="19"/>
        </w:rPr>
        <w:t>Project Hive Strategic Framework · The 4 Enterprise Pillars</w:t>
      </w:r>
    </w:p>
    <w:p>
      <w:pPr>
        <w:spacing w:before="0" w:after="120" w:line="276" w:lineRule="auto"/>
      </w:pPr>
      <w:r>
        <w:rPr>
          <w:rFonts w:ascii="Arial" w:hAnsi="Arial"/>
          <w:color w:val="1C1917"/>
          <w:sz w:val="19"/>
        </w:rPr>
        <w:t>為徹底解決上述跨國斷網與資訊孤島痛點，信源全球正式啟動『蜂巢計畫（Project Hive）』。如同蜜蜂築巢具備高強度六角形結構與個別蜂室獨立自律之特性，計畫將集團 IT 體系解構為四大互相支援的戰略主架構（Four Pillars）：</w:t>
      </w:r>
    </w:p>
    <w:p>
      <w:pPr>
        <w:pStyle w:val="ListBullet"/>
        <w:spacing w:before="0" w:after="60" w:line="269" w:lineRule="auto"/>
      </w:pPr>
      <w:r>
        <w:rPr>
          <w:rFonts w:ascii="Arial" w:hAnsi="Arial"/>
          <w:b/>
          <w:color w:val="1C1917"/>
          <w:sz w:val="18"/>
        </w:rPr>
        <w:t>Pillar I · 數位底座與治理 (Digital Foundation &amp; Governance)：</w:t>
      </w:r>
      <w:r>
        <w:rPr>
          <w:rFonts w:ascii="Arial" w:hAnsi="Arial"/>
          <w:color w:val="1C1917"/>
          <w:sz w:val="18"/>
        </w:rPr>
        <w:t>涵蓋 API 總平台、雙軌資料湖倉、海外邊緣離線自治、SCM 版控規範、企業級雙層語意層與 AI-SDLC 治理。此為全案奠基之作，亦為本次第一階段顧問服務之核心範疇。</w:t>
      </w:r>
    </w:p>
    <w:p>
      <w:pPr>
        <w:pStyle w:val="ListBullet"/>
        <w:spacing w:before="0" w:after="60" w:line="269" w:lineRule="auto"/>
      </w:pPr>
      <w:r>
        <w:rPr>
          <w:rFonts w:ascii="Arial" w:hAnsi="Arial"/>
          <w:b/>
          <w:color w:val="1C1917"/>
          <w:sz w:val="18"/>
        </w:rPr>
        <w:t>Pillar II · 營運流程整合 (End-to-End Process Integration)：</w:t>
      </w:r>
      <w:r>
        <w:rPr>
          <w:rFonts w:ascii="Arial" w:hAnsi="Arial"/>
          <w:color w:val="1C1917"/>
          <w:sz w:val="18"/>
        </w:rPr>
        <w:t>貫通客戶報價、業務開發、工藝技術包（Tech Pack）、採購發料、到海外廠車間縫製之五大端到端流程，消滅跨系統斷點。</w:t>
      </w:r>
    </w:p>
    <w:p>
      <w:pPr>
        <w:pStyle w:val="ListBullet"/>
        <w:spacing w:before="0" w:after="60" w:line="269" w:lineRule="auto"/>
      </w:pPr>
      <w:r>
        <w:rPr>
          <w:rFonts w:ascii="Arial" w:hAnsi="Arial"/>
          <w:b/>
          <w:color w:val="1C1917"/>
          <w:sz w:val="18"/>
        </w:rPr>
        <w:t>Pillar III · 智能營運與決策 (Agentic AI &amp; Smart Operations)：</w:t>
      </w:r>
      <w:r>
        <w:rPr>
          <w:rFonts w:ascii="Arial" w:hAnsi="Arial"/>
          <w:color w:val="1C1917"/>
          <w:sz w:val="18"/>
        </w:rPr>
        <w:t>導入以圖找圖模型、Tech Pack 多國翻譯、做工規範 RAG 知識庫、工廠生管 AI Agent 與車縫排線平衡演算法。</w:t>
      </w:r>
    </w:p>
    <w:p>
      <w:pPr>
        <w:pStyle w:val="ListBullet"/>
        <w:spacing w:before="0" w:after="60" w:line="269" w:lineRule="auto"/>
      </w:pPr>
      <w:r>
        <w:rPr>
          <w:rFonts w:ascii="Arial" w:hAnsi="Arial"/>
          <w:b/>
          <w:color w:val="1C1917"/>
          <w:sz w:val="18"/>
        </w:rPr>
        <w:t>Pillar IV · 智慧製造與邊緣 (Smart Manufacturing &amp; Edge Computing)：</w:t>
      </w:r>
      <w:r>
        <w:rPr>
          <w:rFonts w:ascii="Arial" w:hAnsi="Arial"/>
          <w:color w:val="1C1917"/>
          <w:sz w:val="18"/>
        </w:rPr>
        <w:t>部署海外車間工業級邊緣小主機（ASUS GX10）、吊掛線整合、裁床 IoT 感測與設備預防維護（PdM）。</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【架構師戰略定調】</w:t>
              <w:br/>
            </w:r>
            <w:r>
              <w:rPr>
                <w:rFonts w:ascii="Arial" w:hAnsi="Arial"/>
                <w:color w:val="1C1917"/>
                <w:sz w:val="18"/>
              </w:rPr>
              <w:t>『底座不穩，地動山搖』。第一階段專注於 Pillar I 數位底座，旨在為 Pillar II～IV 鋪設堅不可摧的高速鐵道，避免未來在上層堆疊 AI 應用時引發架構坍塌。</w:t>
            </w:r>
          </w:p>
        </w:tc>
      </w:tr>
    </w:tbl>
    <w:p>
      <w:pPr>
        <w:spacing w:after="80"/>
      </w:pPr>
    </w:p>
    <w:p>
      <w:r>
        <w:br w:type="page"/>
      </w:r>
    </w:p>
    <w:p>
      <w:pPr>
        <w:spacing w:before="160" w:after="80"/>
      </w:pPr>
      <w:r>
        <w:rPr>
          <w:rFonts w:ascii="Arial" w:hAnsi="Arial"/>
          <w:b/>
          <w:color w:val="D97706"/>
          <w:sz w:val="22"/>
        </w:rPr>
        <w:t xml:space="preserve">【第一章：宏觀戰略】 </w:t>
      </w:r>
      <w:r>
        <w:rPr>
          <w:rFonts w:ascii="Arial" w:hAnsi="Arial"/>
          <w:b/>
          <w:color w:val="A83212"/>
          <w:sz w:val="30"/>
        </w:rPr>
        <w:t>1.4 Pillar I 數位底座之八大關鍵領域深度展開</w:t>
      </w:r>
    </w:p>
    <w:p>
      <w:pPr>
        <w:spacing w:before="0" w:after="200"/>
      </w:pPr>
      <w:r>
        <w:rPr>
          <w:rFonts w:ascii="Arial" w:hAnsi="Arial"/>
          <w:i/>
          <w:color w:val="78716C"/>
          <w:sz w:val="19"/>
        </w:rPr>
        <w:t>Pillar I Scope · Detailed Decomposition of 8 Architectural Domains</w:t>
      </w:r>
    </w:p>
    <w:p>
      <w:pPr>
        <w:spacing w:before="0" w:after="120" w:line="276" w:lineRule="auto"/>
      </w:pPr>
      <w:r>
        <w:rPr>
          <w:rFonts w:ascii="Arial" w:hAnsi="Arial"/>
          <w:color w:val="1C1917"/>
          <w:sz w:val="19"/>
        </w:rPr>
        <w:t>Pillar I 數位底座並非單一技術產品，而是由八大關鍵工程領域構成的立體聯防體系：</w:t>
      </w:r>
    </w:p>
    <w:tbl>
      <w:tblPr>
        <w:tblW w:type="auto" w:w="0"/>
        <w:jc w:val="center"/>
        <w:tblLook w:firstColumn="1" w:firstRow="1" w:lastColumn="0" w:lastRow="0" w:noHBand="0" w:noVBand="1" w:val="04A0"/>
      </w:tblPr>
      <w:tblGrid>
        <w:gridCol w:w="3216"/>
        <w:gridCol w:w="3216"/>
        <w:gridCol w:w="3216"/>
      </w:tblGrid>
      <w:tr>
        <w:tc>
          <w:tcPr>
            <w:tcW w:type="dxa" w:w="2592"/>
            <w:shd w:fill="F5EFEB"/>
            <w:tcMar>
              <w:top w:w="80" w:type="dxa"/>
              <w:bottom w:w="80" w:type="dxa"/>
              <w:left w:w="100" w:type="dxa"/>
              <w:right w:w="100" w:type="dxa"/>
            </w:tcMar>
          </w:tcPr>
          <w:p>
            <w:r>
              <w:rPr>
                <w:rFonts w:ascii="Arial" w:hAnsi="Arial"/>
                <w:b/>
                <w:color w:val="A83212"/>
                <w:sz w:val="17"/>
              </w:rPr>
              <w:t>領域編號與名稱</w:t>
            </w:r>
          </w:p>
        </w:tc>
        <w:tc>
          <w:tcPr>
            <w:tcW w:type="dxa" w:w="3168"/>
            <w:shd w:fill="F5EFEB"/>
            <w:tcMar>
              <w:top w:w="80" w:type="dxa"/>
              <w:bottom w:w="80" w:type="dxa"/>
              <w:left w:w="100" w:type="dxa"/>
              <w:right w:w="100" w:type="dxa"/>
            </w:tcMar>
          </w:tcPr>
          <w:p>
            <w:r>
              <w:rPr>
                <w:rFonts w:ascii="Arial" w:hAnsi="Arial"/>
                <w:b/>
                <w:color w:val="A83212"/>
                <w:sz w:val="17"/>
              </w:rPr>
              <w:t>核心技術棧與標準組件</w:t>
            </w:r>
          </w:p>
        </w:tc>
        <w:tc>
          <w:tcPr>
            <w:tcW w:type="dxa" w:w="4608"/>
            <w:shd w:fill="F5EFEB"/>
            <w:tcMar>
              <w:top w:w="80" w:type="dxa"/>
              <w:bottom w:w="80" w:type="dxa"/>
              <w:left w:w="100" w:type="dxa"/>
              <w:right w:w="100" w:type="dxa"/>
            </w:tcMar>
          </w:tcPr>
          <w:p>
            <w:r>
              <w:rPr>
                <w:rFonts w:ascii="Arial" w:hAnsi="Arial"/>
                <w:b/>
                <w:color w:val="A83212"/>
                <w:sz w:val="17"/>
              </w:rPr>
              <w:t>在蜂巢計畫中之核心使命與定位</w:t>
            </w:r>
          </w:p>
        </w:tc>
      </w:tr>
      <w:tr>
        <w:tc>
          <w:tcPr>
            <w:tcW w:type="dxa" w:w="2592"/>
            <w:shd w:fill="FFFFFF"/>
            <w:tcMar>
              <w:top w:w="60" w:type="dxa"/>
              <w:bottom w:w="60" w:type="dxa"/>
              <w:left w:w="100" w:type="dxa"/>
              <w:right w:w="100" w:type="dxa"/>
            </w:tcMar>
          </w:tcPr>
          <w:p>
            <w:r>
              <w:rPr>
                <w:rFonts w:ascii="Arial" w:hAnsi="Arial"/>
                <w:color w:val="1C1917"/>
                <w:sz w:val="16"/>
              </w:rPr>
              <w:t>D01 跨國 API 總平台</w:t>
            </w:r>
          </w:p>
        </w:tc>
        <w:tc>
          <w:tcPr>
            <w:tcW w:type="dxa" w:w="3168"/>
            <w:shd w:fill="FFFFFF"/>
            <w:tcMar>
              <w:top w:w="60" w:type="dxa"/>
              <w:bottom w:w="60" w:type="dxa"/>
              <w:left w:w="100" w:type="dxa"/>
              <w:right w:w="100" w:type="dxa"/>
            </w:tcMar>
          </w:tcPr>
          <w:p>
            <w:r>
              <w:rPr>
                <w:rFonts w:ascii="Arial" w:hAnsi="Arial"/>
                <w:color w:val="1C1917"/>
                <w:sz w:val="16"/>
              </w:rPr>
              <w:t>ASP.NET Core 8 Web API</w:t>
              <w:br/>
              <w:t>Azure APIM / WASM</w:t>
            </w:r>
          </w:p>
        </w:tc>
        <w:tc>
          <w:tcPr>
            <w:tcW w:type="dxa" w:w="4608"/>
            <w:shd w:fill="FFFFFF"/>
            <w:tcMar>
              <w:top w:w="60" w:type="dxa"/>
              <w:bottom w:w="60" w:type="dxa"/>
              <w:left w:w="100" w:type="dxa"/>
              <w:right w:w="100" w:type="dxa"/>
            </w:tcMar>
          </w:tcPr>
          <w:p>
            <w:r>
              <w:rPr>
                <w:rFonts w:ascii="Arial" w:hAnsi="Arial"/>
                <w:color w:val="1C1917"/>
                <w:sz w:val="16"/>
              </w:rPr>
              <w:t>統一微軟 C# 分層標準，封裝 ApiResponse 信封，提供跨系統安全對接通道。</w:t>
            </w:r>
          </w:p>
        </w:tc>
      </w:tr>
      <w:tr>
        <w:tc>
          <w:tcPr>
            <w:tcW w:type="dxa" w:w="2592"/>
            <w:shd w:fill="FAFAF9"/>
            <w:tcMar>
              <w:top w:w="60" w:type="dxa"/>
              <w:bottom w:w="60" w:type="dxa"/>
              <w:left w:w="100" w:type="dxa"/>
              <w:right w:w="100" w:type="dxa"/>
            </w:tcMar>
          </w:tcPr>
          <w:p>
            <w:r>
              <w:rPr>
                <w:rFonts w:ascii="Arial" w:hAnsi="Arial"/>
                <w:color w:val="1C1917"/>
                <w:sz w:val="16"/>
              </w:rPr>
              <w:t>D02 雙軌資料湖倉</w:t>
            </w:r>
          </w:p>
        </w:tc>
        <w:tc>
          <w:tcPr>
            <w:tcW w:type="dxa" w:w="3168"/>
            <w:shd w:fill="FAFAF9"/>
            <w:tcMar>
              <w:top w:w="60" w:type="dxa"/>
              <w:bottom w:w="60" w:type="dxa"/>
              <w:left w:w="100" w:type="dxa"/>
              <w:right w:w="100" w:type="dxa"/>
            </w:tcMar>
          </w:tcPr>
          <w:p>
            <w:r>
              <w:rPr>
                <w:rFonts w:ascii="Arial" w:hAnsi="Arial"/>
                <w:color w:val="1C1917"/>
                <w:sz w:val="16"/>
              </w:rPr>
              <w:t>Azure ADLS Gen2</w:t>
              <w:br/>
              <w:t>MS SQL AlwaysOn CDC</w:t>
            </w:r>
          </w:p>
        </w:tc>
        <w:tc>
          <w:tcPr>
            <w:tcW w:type="dxa" w:w="4608"/>
            <w:shd w:fill="FAFAF9"/>
            <w:tcMar>
              <w:top w:w="60" w:type="dxa"/>
              <w:bottom w:w="60" w:type="dxa"/>
              <w:left w:w="100" w:type="dxa"/>
              <w:right w:w="100" w:type="dxa"/>
            </w:tcMar>
          </w:tcPr>
          <w:p>
            <w:r>
              <w:rPr>
                <w:rFonts w:ascii="Arial" w:hAnsi="Arial"/>
                <w:color w:val="1C1917"/>
                <w:sz w:val="16"/>
              </w:rPr>
              <w:t>將業務交易（OLTP）與分析（OLAP）徹底解耦，建立 Medallion 三層清洗湖倉。</w:t>
            </w:r>
          </w:p>
        </w:tc>
      </w:tr>
      <w:tr>
        <w:tc>
          <w:tcPr>
            <w:tcW w:type="dxa" w:w="2592"/>
            <w:shd w:fill="FFFFFF"/>
            <w:tcMar>
              <w:top w:w="60" w:type="dxa"/>
              <w:bottom w:w="60" w:type="dxa"/>
              <w:left w:w="100" w:type="dxa"/>
              <w:right w:w="100" w:type="dxa"/>
            </w:tcMar>
          </w:tcPr>
          <w:p>
            <w:r>
              <w:rPr>
                <w:rFonts w:ascii="Arial" w:hAnsi="Arial"/>
                <w:color w:val="1C1917"/>
                <w:sz w:val="16"/>
              </w:rPr>
              <w:t>D03 離峰傳輸政策</w:t>
            </w:r>
          </w:p>
        </w:tc>
        <w:tc>
          <w:tcPr>
            <w:tcW w:type="dxa" w:w="3168"/>
            <w:shd w:fill="FFFFFF"/>
            <w:tcMar>
              <w:top w:w="60" w:type="dxa"/>
              <w:bottom w:w="60" w:type="dxa"/>
              <w:left w:w="100" w:type="dxa"/>
              <w:right w:w="100" w:type="dxa"/>
            </w:tcMar>
          </w:tcPr>
          <w:p>
            <w:r>
              <w:rPr>
                <w:rFonts w:ascii="Arial" w:hAnsi="Arial"/>
                <w:color w:val="1C1917"/>
                <w:sz w:val="16"/>
              </w:rPr>
              <w:t>ADF Pipeline 增量排程</w:t>
              <w:br/>
              <w:t>自管 Integration Runtime</w:t>
            </w:r>
          </w:p>
        </w:tc>
        <w:tc>
          <w:tcPr>
            <w:tcW w:type="dxa" w:w="4608"/>
            <w:shd w:fill="FFFFFF"/>
            <w:tcMar>
              <w:top w:w="60" w:type="dxa"/>
              <w:bottom w:w="60" w:type="dxa"/>
              <w:left w:w="100" w:type="dxa"/>
              <w:right w:w="100" w:type="dxa"/>
            </w:tcMar>
          </w:tcPr>
          <w:p>
            <w:r>
              <w:rPr>
                <w:rFonts w:ascii="Arial" w:hAnsi="Arial"/>
                <w:color w:val="1C1917"/>
                <w:sz w:val="16"/>
              </w:rPr>
              <w:t>堅決落實深夜 01:00~03:00 一日一次離峰打包，保護日間 SD-WAN 頻寬。</w:t>
            </w:r>
          </w:p>
        </w:tc>
      </w:tr>
      <w:tr>
        <w:tc>
          <w:tcPr>
            <w:tcW w:type="dxa" w:w="2592"/>
            <w:shd w:fill="FAFAF9"/>
            <w:tcMar>
              <w:top w:w="60" w:type="dxa"/>
              <w:bottom w:w="60" w:type="dxa"/>
              <w:left w:w="100" w:type="dxa"/>
              <w:right w:w="100" w:type="dxa"/>
            </w:tcMar>
          </w:tcPr>
          <w:p>
            <w:r>
              <w:rPr>
                <w:rFonts w:ascii="Arial" w:hAnsi="Arial"/>
                <w:color w:val="1C1917"/>
                <w:sz w:val="16"/>
              </w:rPr>
              <w:t>D04 雙層語意層</w:t>
            </w:r>
          </w:p>
        </w:tc>
        <w:tc>
          <w:tcPr>
            <w:tcW w:type="dxa" w:w="3168"/>
            <w:shd w:fill="FAFAF9"/>
            <w:tcMar>
              <w:top w:w="60" w:type="dxa"/>
              <w:bottom w:w="60" w:type="dxa"/>
              <w:left w:w="100" w:type="dxa"/>
              <w:right w:w="100" w:type="dxa"/>
            </w:tcMar>
          </w:tcPr>
          <w:p>
            <w:r>
              <w:rPr>
                <w:rFonts w:ascii="Arial" w:hAnsi="Arial"/>
                <w:color w:val="1C1917"/>
                <w:sz w:val="16"/>
              </w:rPr>
              <w:t>Gartner 2026 標竿模型</w:t>
              <w:br/>
              <w:t>Power BI Semantic Models</w:t>
            </w:r>
          </w:p>
        </w:tc>
        <w:tc>
          <w:tcPr>
            <w:tcW w:type="dxa" w:w="4608"/>
            <w:shd w:fill="FAFAF9"/>
            <w:tcMar>
              <w:top w:w="60" w:type="dxa"/>
              <w:bottom w:w="60" w:type="dxa"/>
              <w:left w:w="100" w:type="dxa"/>
              <w:right w:w="100" w:type="dxa"/>
            </w:tcMar>
          </w:tcPr>
          <w:p>
            <w:r>
              <w:rPr>
                <w:rFonts w:ascii="Arial" w:hAnsi="Arial"/>
                <w:color w:val="1C1917"/>
                <w:sz w:val="16"/>
              </w:rPr>
              <w:t>在源頭統一 20 大成衣指標定義，消滅生管 AI 預測與廠長晨會報表矛盾。</w:t>
            </w:r>
          </w:p>
        </w:tc>
      </w:tr>
      <w:tr>
        <w:tc>
          <w:tcPr>
            <w:tcW w:type="dxa" w:w="2592"/>
            <w:shd w:fill="FFFFFF"/>
            <w:tcMar>
              <w:top w:w="60" w:type="dxa"/>
              <w:bottom w:w="60" w:type="dxa"/>
              <w:left w:w="100" w:type="dxa"/>
              <w:right w:w="100" w:type="dxa"/>
            </w:tcMar>
          </w:tcPr>
          <w:p>
            <w:r>
              <w:rPr>
                <w:rFonts w:ascii="Arial" w:hAnsi="Arial"/>
                <w:color w:val="1C1917"/>
                <w:sz w:val="16"/>
              </w:rPr>
              <w:t>D05 邊緣離線自治</w:t>
            </w:r>
          </w:p>
        </w:tc>
        <w:tc>
          <w:tcPr>
            <w:tcW w:type="dxa" w:w="3168"/>
            <w:shd w:fill="FFFFFF"/>
            <w:tcMar>
              <w:top w:w="60" w:type="dxa"/>
              <w:bottom w:w="60" w:type="dxa"/>
              <w:left w:w="100" w:type="dxa"/>
              <w:right w:w="100" w:type="dxa"/>
            </w:tcMar>
          </w:tcPr>
          <w:p>
            <w:r>
              <w:rPr>
                <w:rFonts w:ascii="Arial" w:hAnsi="Arial"/>
                <w:color w:val="1C1917"/>
                <w:sz w:val="16"/>
              </w:rPr>
              <w:t>ASUS Ascent GX10 工控機</w:t>
              <w:br/>
              <w:t>DuckDB / SQLite WAL</w:t>
            </w:r>
          </w:p>
        </w:tc>
        <w:tc>
          <w:tcPr>
            <w:tcW w:type="dxa" w:w="4608"/>
            <w:shd w:fill="FFFFFF"/>
            <w:tcMar>
              <w:top w:w="60" w:type="dxa"/>
              <w:bottom w:w="60" w:type="dxa"/>
              <w:left w:w="100" w:type="dxa"/>
              <w:right w:w="100" w:type="dxa"/>
            </w:tcMar>
          </w:tcPr>
          <w:p>
            <w:r>
              <w:rPr>
                <w:rFonts w:ascii="Arial" w:hAnsi="Arial"/>
                <w:color w:val="1C1917"/>
                <w:sz w:val="16"/>
              </w:rPr>
              <w:t>確保海外廠遭遇海底電纜斷網時，具備 48～72 小時車間連續生產能力。</w:t>
            </w:r>
          </w:p>
        </w:tc>
      </w:tr>
      <w:tr>
        <w:tc>
          <w:tcPr>
            <w:tcW w:type="dxa" w:w="2592"/>
            <w:shd w:fill="FAFAF9"/>
            <w:tcMar>
              <w:top w:w="60" w:type="dxa"/>
              <w:bottom w:w="60" w:type="dxa"/>
              <w:left w:w="100" w:type="dxa"/>
              <w:right w:w="100" w:type="dxa"/>
            </w:tcMar>
          </w:tcPr>
          <w:p>
            <w:r>
              <w:rPr>
                <w:rFonts w:ascii="Arial" w:hAnsi="Arial"/>
                <w:color w:val="1C1917"/>
                <w:sz w:val="16"/>
              </w:rPr>
              <w:t>D06 SCM 版控治理</w:t>
            </w:r>
          </w:p>
        </w:tc>
        <w:tc>
          <w:tcPr>
            <w:tcW w:type="dxa" w:w="3168"/>
            <w:shd w:fill="FAFAF9"/>
            <w:tcMar>
              <w:top w:w="60" w:type="dxa"/>
              <w:bottom w:w="60" w:type="dxa"/>
              <w:left w:w="100" w:type="dxa"/>
              <w:right w:w="100" w:type="dxa"/>
            </w:tcMar>
          </w:tcPr>
          <w:p>
            <w:r>
              <w:rPr>
                <w:rFonts w:ascii="Arial" w:hAnsi="Arial"/>
                <w:color w:val="1C1917"/>
                <w:sz w:val="16"/>
              </w:rPr>
              <w:t>GitLab 統一庫 ＋ Notion</w:t>
              <w:br/>
              <w:t>剛性 MR 具名審批門禁</w:t>
            </w:r>
          </w:p>
        </w:tc>
        <w:tc>
          <w:tcPr>
            <w:tcW w:type="dxa" w:w="4608"/>
            <w:shd w:fill="FAFAF9"/>
            <w:tcMar>
              <w:top w:w="60" w:type="dxa"/>
              <w:bottom w:w="60" w:type="dxa"/>
              <w:left w:w="100" w:type="dxa"/>
              <w:right w:w="100" w:type="dxa"/>
            </w:tcMar>
          </w:tcPr>
          <w:p>
            <w:r>
              <w:rPr>
                <w:rFonts w:ascii="Arial" w:hAnsi="Arial"/>
                <w:color w:val="1C1917"/>
                <w:sz w:val="16"/>
              </w:rPr>
              <w:t>收斂 16 位工程師團隊工具鏈，以 CQS (.NET 8) 作為首波 AI 導入示範燈塔。</w:t>
            </w:r>
          </w:p>
        </w:tc>
      </w:tr>
      <w:tr>
        <w:tc>
          <w:tcPr>
            <w:tcW w:type="dxa" w:w="2592"/>
            <w:shd w:fill="FFFFFF"/>
            <w:tcMar>
              <w:top w:w="60" w:type="dxa"/>
              <w:bottom w:w="60" w:type="dxa"/>
              <w:left w:w="100" w:type="dxa"/>
              <w:right w:w="100" w:type="dxa"/>
            </w:tcMar>
          </w:tcPr>
          <w:p>
            <w:r>
              <w:rPr>
                <w:rFonts w:ascii="Arial" w:hAnsi="Arial"/>
                <w:color w:val="1C1917"/>
                <w:sz w:val="16"/>
              </w:rPr>
              <w:t>D07 機房硬體升級</w:t>
            </w:r>
          </w:p>
        </w:tc>
        <w:tc>
          <w:tcPr>
            <w:tcW w:type="dxa" w:w="3168"/>
            <w:shd w:fill="FFFFFF"/>
            <w:tcMar>
              <w:top w:w="60" w:type="dxa"/>
              <w:bottom w:w="60" w:type="dxa"/>
              <w:left w:w="100" w:type="dxa"/>
              <w:right w:w="100" w:type="dxa"/>
            </w:tcMar>
          </w:tcPr>
          <w:p>
            <w:r>
              <w:rPr>
                <w:rFonts w:ascii="Arial" w:hAnsi="Arial"/>
                <w:color w:val="1C1917"/>
                <w:sz w:val="16"/>
              </w:rPr>
              <w:t>Core Switch 25G 模組</w:t>
              <w:br/>
              <w:t>NetApp 25GbE Quad SFP28</w:t>
            </w:r>
          </w:p>
        </w:tc>
        <w:tc>
          <w:tcPr>
            <w:tcW w:type="dxa" w:w="4608"/>
            <w:shd w:fill="FFFFFF"/>
            <w:tcMar>
              <w:top w:w="60" w:type="dxa"/>
              <w:bottom w:w="60" w:type="dxa"/>
              <w:left w:w="100" w:type="dxa"/>
              <w:right w:w="100" w:type="dxa"/>
            </w:tcMar>
          </w:tcPr>
          <w:p>
            <w:r>
              <w:rPr>
                <w:rFonts w:ascii="Arial" w:hAnsi="Arial"/>
                <w:color w:val="1C1917"/>
                <w:sz w:val="16"/>
              </w:rPr>
              <w:t>打通總部機房傳輸骨幹，採 DAC 直連線降本，防範海量圖檔 GPU 飢餓。</w:t>
            </w:r>
          </w:p>
        </w:tc>
      </w:tr>
      <w:tr>
        <w:tc>
          <w:tcPr>
            <w:tcW w:type="dxa" w:w="2592"/>
            <w:shd w:fill="FAFAF9"/>
            <w:tcMar>
              <w:top w:w="60" w:type="dxa"/>
              <w:bottom w:w="60" w:type="dxa"/>
              <w:left w:w="100" w:type="dxa"/>
              <w:right w:w="100" w:type="dxa"/>
            </w:tcMar>
          </w:tcPr>
          <w:p>
            <w:r>
              <w:rPr>
                <w:rFonts w:ascii="Arial" w:hAnsi="Arial"/>
                <w:color w:val="1C1917"/>
                <w:sz w:val="16"/>
              </w:rPr>
              <w:t>D08 AI 治理與合規</w:t>
            </w:r>
          </w:p>
        </w:tc>
        <w:tc>
          <w:tcPr>
            <w:tcW w:type="dxa" w:w="3168"/>
            <w:shd w:fill="FAFAF9"/>
            <w:tcMar>
              <w:top w:w="60" w:type="dxa"/>
              <w:bottom w:w="60" w:type="dxa"/>
              <w:left w:w="100" w:type="dxa"/>
              <w:right w:w="100" w:type="dxa"/>
            </w:tcMar>
          </w:tcPr>
          <w:p>
            <w:r>
              <w:rPr>
                <w:rFonts w:ascii="Arial" w:hAnsi="Arial"/>
                <w:color w:val="1C1917"/>
                <w:sz w:val="16"/>
              </w:rPr>
              <w:t>金管會 GenAI 六大原則</w:t>
              <w:br/>
              <w:t>品牌智財無菌室 (Clean Room)</w:t>
            </w:r>
          </w:p>
        </w:tc>
        <w:tc>
          <w:tcPr>
            <w:tcW w:type="dxa" w:w="4608"/>
            <w:shd w:fill="FAFAF9"/>
            <w:tcMar>
              <w:top w:w="60" w:type="dxa"/>
              <w:bottom w:w="60" w:type="dxa"/>
              <w:left w:w="100" w:type="dxa"/>
              <w:right w:w="100" w:type="dxa"/>
            </w:tcMar>
          </w:tcPr>
          <w:p>
            <w:r>
              <w:rPr>
                <w:rFonts w:ascii="Arial" w:hAnsi="Arial"/>
                <w:color w:val="1C1917"/>
                <w:sz w:val="16"/>
              </w:rPr>
              <w:t>落實訂單款式結構圖去識別化、AWS ZDR 協定與內控第 9 條之 1 稽核。</w:t>
            </w:r>
          </w:p>
        </w:tc>
      </w:tr>
    </w:tbl>
    <w:p>
      <w:pPr>
        <w:spacing w:after="80"/>
      </w:pPr>
    </w:p>
    <w:p>
      <w:r>
        <w:br w:type="page"/>
      </w:r>
    </w:p>
    <w:p>
      <w:pPr>
        <w:spacing w:before="160" w:after="80"/>
      </w:pPr>
      <w:r>
        <w:rPr>
          <w:rFonts w:ascii="Arial" w:hAnsi="Arial"/>
          <w:b/>
          <w:color w:val="D97706"/>
          <w:sz w:val="22"/>
        </w:rPr>
        <w:t xml:space="preserve">【第一章：宏觀戰略】 </w:t>
      </w:r>
      <w:r>
        <w:rPr>
          <w:rFonts w:ascii="Arial" w:hAnsi="Arial"/>
          <w:b/>
          <w:color w:val="A83212"/>
          <w:sz w:val="30"/>
        </w:rPr>
        <w:t>1.5 Gartner R-G-T 55/25/20 資本配置模型在成衣製造之應用</w:t>
      </w:r>
    </w:p>
    <w:p>
      <w:pPr>
        <w:spacing w:before="0" w:after="200"/>
      </w:pPr>
      <w:r>
        <w:rPr>
          <w:rFonts w:ascii="Arial" w:hAnsi="Arial"/>
          <w:i/>
          <w:color w:val="78716C"/>
          <w:sz w:val="19"/>
        </w:rPr>
        <w:t>Gartner R-G-T Budget Allocation Model &amp; Capital Governance</w:t>
      </w:r>
    </w:p>
    <w:p>
      <w:pPr>
        <w:spacing w:before="0" w:after="120" w:line="276" w:lineRule="auto"/>
      </w:pPr>
      <w:r>
        <w:rPr>
          <w:rFonts w:ascii="Arial" w:hAnsi="Arial"/>
          <w:color w:val="1C1917"/>
          <w:sz w:val="19"/>
        </w:rPr>
        <w:t>國際研究機構 Gartner 提出的 Run-Grow-Transform (R-G-T) 模型，是衡量跨國製造企業資訊資本成熟度的世界級標竿。信源全球 2027 年 IT 總預算嚴格依此模型配置為 55% Run、25% Grow、20% Transform：</w:t>
      </w:r>
    </w:p>
    <w:p>
      <w:pPr>
        <w:pStyle w:val="ListBullet"/>
        <w:spacing w:before="0" w:after="60" w:line="269" w:lineRule="auto"/>
      </w:pPr>
      <w:r>
        <w:rPr>
          <w:rFonts w:ascii="Arial" w:hAnsi="Arial"/>
          <w:b/>
          <w:color w:val="1C1917"/>
          <w:sz w:val="18"/>
        </w:rPr>
        <w:t>1. Run (維運穩固 · 守住核心底盤)：</w:t>
      </w:r>
      <w:r>
        <w:rPr>
          <w:rFonts w:ascii="Arial" w:hAnsi="Arial"/>
          <w:color w:val="1C1917"/>
          <w:sz w:val="18"/>
        </w:rPr>
        <w:t>預算比重 55%（約 NT$ 1,108.8 萬）。用於支持總部機房骨幹、海外廠 SD-WAN 連線、D365 ERP 基礎維運、MS SQL AlwaysOn 資料庫授權與例行資安防護。透過 FinOps 授權整併，目標降低可控 Run 成本 8%~12%。</w:t>
      </w:r>
    </w:p>
    <w:p>
      <w:pPr>
        <w:pStyle w:val="ListBullet"/>
        <w:spacing w:before="0" w:after="60" w:line="269" w:lineRule="auto"/>
      </w:pPr>
      <w:r>
        <w:rPr>
          <w:rFonts w:ascii="Arial" w:hAnsi="Arial"/>
          <w:b/>
          <w:color w:val="1C1917"/>
          <w:sz w:val="18"/>
        </w:rPr>
        <w:t>2. Grow (業務增長 · 賦能擴產營運)：</w:t>
      </w:r>
      <w:r>
        <w:rPr>
          <w:rFonts w:ascii="Arial" w:hAnsi="Arial"/>
          <w:color w:val="1C1917"/>
          <w:sz w:val="18"/>
        </w:rPr>
        <w:t>預算比重 25%（約 NT$ 504 萬）。用於支持成衣業務跨國擴展，包含 D365 F&amp;O 外掛現代化、CQS 剪裁品質系統推廣、快遞物流自動介接、以及海外新廠的邊緣工控節點快速部署。</w:t>
      </w:r>
    </w:p>
    <w:p>
      <w:pPr>
        <w:pStyle w:val="ListBullet"/>
        <w:spacing w:before="0" w:after="60" w:line="269" w:lineRule="auto"/>
      </w:pPr>
      <w:r>
        <w:rPr>
          <w:rFonts w:ascii="Arial" w:hAnsi="Arial"/>
          <w:b/>
          <w:color w:val="1C1917"/>
          <w:sz w:val="18"/>
        </w:rPr>
        <w:t>3. Transform (創新躍升 · 打造智能護城河)：</w:t>
      </w:r>
      <w:r>
        <w:rPr>
          <w:rFonts w:ascii="Arial" w:hAnsi="Arial"/>
          <w:color w:val="1C1917"/>
          <w:sz w:val="18"/>
        </w:rPr>
        <w:t>預算比重 20%（約 NT$ 403.2 萬）。用於推動前瞻戰略躍升，包含成衣訂單款式結構圖以圖找圖模型、Tech Pack 多國自動翻譯、生管 AI Agent、做工 RAG 知識庫與邊緣離線自治演算法研發。</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【資本配置治理哲學】</w:t>
              <w:br/>
            </w:r>
            <w:r>
              <w:rPr>
                <w:rFonts w:ascii="Arial" w:hAnsi="Arial"/>
                <w:color w:val="1C1917"/>
                <w:sz w:val="18"/>
              </w:rPr>
              <w:t>傳統製造業常陷入『Run 吃掉 80% 以上預算，無力創新』的惡性循環。信源堅守 55/25/20 黃金配比，確保集團在維護生產穩定的同時，每年擁有充足資本鑄造 AI 競爭優勢。</w:t>
            </w:r>
          </w:p>
        </w:tc>
      </w:tr>
    </w:tbl>
    <w:p>
      <w:pPr>
        <w:spacing w:after="80"/>
      </w:pPr>
    </w:p>
    <w:p>
      <w:r>
        <w:br w:type="page"/>
      </w:r>
    </w:p>
    <w:p>
      <w:pPr>
        <w:spacing w:before="160" w:after="80"/>
      </w:pPr>
      <w:r>
        <w:rPr>
          <w:rFonts w:ascii="Arial" w:hAnsi="Arial"/>
          <w:b/>
          <w:color w:val="D97706"/>
          <w:sz w:val="22"/>
        </w:rPr>
        <w:t xml:space="preserve">【第一章：宏觀戰略】 </w:t>
      </w:r>
      <w:r>
        <w:rPr>
          <w:rFonts w:ascii="Arial" w:hAnsi="Arial"/>
          <w:b/>
          <w:color w:val="A83212"/>
          <w:sz w:val="30"/>
        </w:rPr>
        <w:t>1.6 單件成衣數位成本 (DCPG) 控管與每年 NT$ 3,705 萬現金節省對沖</w:t>
      </w:r>
    </w:p>
    <w:p>
      <w:pPr>
        <w:spacing w:before="0" w:after="200"/>
      </w:pPr>
      <w:r>
        <w:rPr>
          <w:rFonts w:ascii="Arial" w:hAnsi="Arial"/>
          <w:i/>
          <w:color w:val="78716C"/>
          <w:sz w:val="19"/>
        </w:rPr>
        <w:t>Digital Cost Per Garment (DCPG) &amp; Hard Dollar Cash Savings Engine</w:t>
      </w:r>
    </w:p>
    <w:p>
      <w:pPr>
        <w:spacing w:before="0" w:after="120" w:line="276" w:lineRule="auto"/>
      </w:pPr>
      <w:r>
        <w:rPr>
          <w:rFonts w:ascii="Arial" w:hAnsi="Arial"/>
          <w:color w:val="1C1917"/>
          <w:sz w:val="19"/>
        </w:rPr>
        <w:t>成衣代工製造毛利極為敏感，任何 IT 投資若無法直接對應到單件成衣成本（Digital Cost Per Garment, DCPG），便難以取得董事會與各廠廠長的信服。信源年產量以數千萬件計，第一階段基準投資額 NT$ 2,016 萬分攤至單件成衣，DCPG 僅約微不足道的 NT$ 0.27 元！</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避險與降本維度</w:t>
            </w:r>
          </w:p>
        </w:tc>
        <w:tc>
          <w:tcPr>
            <w:tcW w:type="dxa" w:w="3168"/>
            <w:shd w:fill="F5EFEB"/>
            <w:tcMar>
              <w:top w:w="80" w:type="dxa"/>
              <w:bottom w:w="80" w:type="dxa"/>
              <w:left w:w="100" w:type="dxa"/>
              <w:right w:w="100" w:type="dxa"/>
            </w:tcMar>
          </w:tcPr>
          <w:p>
            <w:r>
              <w:rPr>
                <w:rFonts w:ascii="Arial" w:hAnsi="Arial"/>
                <w:b/>
                <w:color w:val="A83212"/>
                <w:sz w:val="17"/>
              </w:rPr>
              <w:t>成衣製造實務痛點與情境</w:t>
            </w:r>
          </w:p>
        </w:tc>
        <w:tc>
          <w:tcPr>
            <w:tcW w:type="dxa" w:w="2880"/>
            <w:shd w:fill="F5EFEB"/>
            <w:tcMar>
              <w:top w:w="80" w:type="dxa"/>
              <w:bottom w:w="80" w:type="dxa"/>
              <w:left w:w="100" w:type="dxa"/>
              <w:right w:w="100" w:type="dxa"/>
            </w:tcMar>
          </w:tcPr>
          <w:p>
            <w:r>
              <w:rPr>
                <w:rFonts w:ascii="Arial" w:hAnsi="Arial"/>
                <w:b/>
                <w:color w:val="A83212"/>
                <w:sz w:val="17"/>
              </w:rPr>
              <w:t>蜂巢計畫之具體防禦機制</w:t>
            </w:r>
          </w:p>
        </w:tc>
        <w:tc>
          <w:tcPr>
            <w:tcW w:type="dxa" w:w="1728"/>
            <w:shd w:fill="F5EFEB"/>
            <w:tcMar>
              <w:top w:w="80" w:type="dxa"/>
              <w:bottom w:w="80" w:type="dxa"/>
              <w:left w:w="100" w:type="dxa"/>
              <w:right w:w="100" w:type="dxa"/>
            </w:tcMar>
          </w:tcPr>
          <w:p>
            <w:r>
              <w:rPr>
                <w:rFonts w:ascii="Arial" w:hAnsi="Arial"/>
                <w:b/>
                <w:color w:val="A83212"/>
                <w:sz w:val="17"/>
              </w:rPr>
              <w:t>年化硬性現金節省 (Hard Dollar)</w:t>
            </w:r>
          </w:p>
        </w:tc>
      </w:tr>
      <w:tr>
        <w:tc>
          <w:tcPr>
            <w:tcW w:type="dxa" w:w="2592"/>
            <w:shd w:fill="FFFFFF"/>
            <w:tcMar>
              <w:top w:w="60" w:type="dxa"/>
              <w:bottom w:w="60" w:type="dxa"/>
              <w:left w:w="100" w:type="dxa"/>
              <w:right w:w="100" w:type="dxa"/>
            </w:tcMar>
          </w:tcPr>
          <w:p>
            <w:r>
              <w:rPr>
                <w:rFonts w:ascii="Arial" w:hAnsi="Arial"/>
                <w:color w:val="1C1917"/>
                <w:sz w:val="16"/>
              </w:rPr>
              <w:t>防禦跨國空運包機</w:t>
              <w:br/>
              <w:t>(Air Freight Deficit)</w:t>
            </w:r>
          </w:p>
        </w:tc>
        <w:tc>
          <w:tcPr>
            <w:tcW w:type="dxa" w:w="3168"/>
            <w:shd w:fill="FFFFFF"/>
            <w:tcMar>
              <w:top w:w="60" w:type="dxa"/>
              <w:bottom w:w="60" w:type="dxa"/>
              <w:left w:w="100" w:type="dxa"/>
              <w:right w:w="100" w:type="dxa"/>
            </w:tcMar>
          </w:tcPr>
          <w:p>
            <w:r>
              <w:rPr>
                <w:rFonts w:ascii="Arial" w:hAnsi="Arial"/>
                <w:color w:val="1C1917"/>
                <w:sz w:val="16"/>
              </w:rPr>
              <w:t>因缺料、打樣延誤或生產線斷網，導致交期延遲，遭品牌客戶強制要求空運包機出貨。</w:t>
            </w:r>
          </w:p>
        </w:tc>
        <w:tc>
          <w:tcPr>
            <w:tcW w:type="dxa" w:w="2880"/>
            <w:shd w:fill="FFFFFF"/>
            <w:tcMar>
              <w:top w:w="60" w:type="dxa"/>
              <w:bottom w:w="60" w:type="dxa"/>
              <w:left w:w="100" w:type="dxa"/>
              <w:right w:w="100" w:type="dxa"/>
            </w:tcMar>
          </w:tcPr>
          <w:p>
            <w:r>
              <w:rPr>
                <w:rFonts w:ascii="Arial" w:hAnsi="Arial"/>
                <w:color w:val="1C1917"/>
                <w:sz w:val="16"/>
              </w:rPr>
              <w:t>透過 4-Gate 產前門禁 100% 齊套防呆與邊緣 72h 離線自律，杜絕停工延誤。</w:t>
            </w:r>
          </w:p>
        </w:tc>
        <w:tc>
          <w:tcPr>
            <w:tcW w:type="dxa" w:w="1728"/>
            <w:shd w:fill="FFFFFF"/>
            <w:tcMar>
              <w:top w:w="60" w:type="dxa"/>
              <w:bottom w:w="60" w:type="dxa"/>
              <w:left w:w="100" w:type="dxa"/>
              <w:right w:w="100" w:type="dxa"/>
            </w:tcMar>
          </w:tcPr>
          <w:p>
            <w:r>
              <w:rPr>
                <w:rFonts w:ascii="Arial" w:hAnsi="Arial"/>
                <w:color w:val="1C1917"/>
                <w:sz w:val="16"/>
              </w:rPr>
              <w:t>成功防禦 2 次空運違約</w:t>
              <w:br/>
              <w:t>每年節省 NT$ 15,000,000</w:t>
            </w:r>
          </w:p>
        </w:tc>
      </w:tr>
      <w:tr>
        <w:tc>
          <w:tcPr>
            <w:tcW w:type="dxa" w:w="2592"/>
            <w:shd w:fill="FAFAF9"/>
            <w:tcMar>
              <w:top w:w="60" w:type="dxa"/>
              <w:bottom w:w="60" w:type="dxa"/>
              <w:left w:w="100" w:type="dxa"/>
              <w:right w:w="100" w:type="dxa"/>
            </w:tcMar>
          </w:tcPr>
          <w:p>
            <w:r>
              <w:rPr>
                <w:rFonts w:ascii="Arial" w:hAnsi="Arial"/>
                <w:color w:val="1C1917"/>
                <w:sz w:val="16"/>
              </w:rPr>
              <w:t>大貨布料採購損耗</w:t>
              <w:br/>
              <w:t>(Fabric Utilization)</w:t>
            </w:r>
          </w:p>
        </w:tc>
        <w:tc>
          <w:tcPr>
            <w:tcW w:type="dxa" w:w="3168"/>
            <w:shd w:fill="FAFAF9"/>
            <w:tcMar>
              <w:top w:w="60" w:type="dxa"/>
              <w:bottom w:w="60" w:type="dxa"/>
              <w:left w:w="100" w:type="dxa"/>
              <w:right w:w="100" w:type="dxa"/>
            </w:tcMar>
          </w:tcPr>
          <w:p>
            <w:r>
              <w:rPr>
                <w:rFonts w:ascii="Arial" w:hAnsi="Arial"/>
                <w:color w:val="1C1917"/>
                <w:sz w:val="16"/>
              </w:rPr>
              <w:t>成衣主料佔生產成本 55%~65%。過去排產與剪裁未聯動，超裁或裁剪餘料浪費高達 3%~5%。</w:t>
            </w:r>
          </w:p>
        </w:tc>
        <w:tc>
          <w:tcPr>
            <w:tcW w:type="dxa" w:w="2880"/>
            <w:shd w:fill="FAFAF9"/>
            <w:tcMar>
              <w:top w:w="60" w:type="dxa"/>
              <w:bottom w:w="60" w:type="dxa"/>
              <w:left w:w="100" w:type="dxa"/>
              <w:right w:w="100" w:type="dxa"/>
            </w:tcMar>
          </w:tcPr>
          <w:p>
            <w:r>
              <w:rPr>
                <w:rFonts w:ascii="Arial" w:hAnsi="Arial"/>
                <w:color w:val="1C1917"/>
                <w:sz w:val="16"/>
              </w:rPr>
              <w:t>CQS 系統結合 CAD 自動排產與雙層語意層，精準預測布損，提升利用率 1.2%。</w:t>
            </w:r>
          </w:p>
        </w:tc>
        <w:tc>
          <w:tcPr>
            <w:tcW w:type="dxa" w:w="1728"/>
            <w:shd w:fill="FAFAF9"/>
            <w:tcMar>
              <w:top w:w="60" w:type="dxa"/>
              <w:bottom w:w="60" w:type="dxa"/>
              <w:left w:w="100" w:type="dxa"/>
              <w:right w:w="100" w:type="dxa"/>
            </w:tcMar>
          </w:tcPr>
          <w:p>
            <w:r>
              <w:rPr>
                <w:rFonts w:ascii="Arial" w:hAnsi="Arial"/>
                <w:color w:val="1C1917"/>
                <w:sz w:val="16"/>
              </w:rPr>
              <w:t>降低布料採購成本 1.2%</w:t>
              <w:br/>
              <w:t>每年節省 NT$ 22,050,000</w:t>
            </w:r>
          </w:p>
        </w:tc>
      </w:tr>
      <w:tr>
        <w:tc>
          <w:tcPr>
            <w:tcW w:type="dxa" w:w="2592"/>
            <w:shd w:fill="FFFFFF"/>
            <w:tcMar>
              <w:top w:w="60" w:type="dxa"/>
              <w:bottom w:w="60" w:type="dxa"/>
              <w:left w:w="100" w:type="dxa"/>
              <w:right w:w="100" w:type="dxa"/>
            </w:tcMar>
          </w:tcPr>
          <w:p>
            <w:r>
              <w:rPr>
                <w:rFonts w:ascii="Arial" w:hAnsi="Arial"/>
                <w:color w:val="1C1917"/>
                <w:sz w:val="16"/>
              </w:rPr>
              <w:t>合計年度現金利益</w:t>
              <w:br/>
              <w:t>(Total Net Savings)</w:t>
            </w:r>
          </w:p>
        </w:tc>
        <w:tc>
          <w:tcPr>
            <w:tcW w:type="dxa" w:w="3168"/>
            <w:shd w:fill="FFFFFF"/>
            <w:tcMar>
              <w:top w:w="60" w:type="dxa"/>
              <w:bottom w:w="60" w:type="dxa"/>
              <w:left w:w="100" w:type="dxa"/>
              <w:right w:w="100" w:type="dxa"/>
            </w:tcMar>
          </w:tcPr>
          <w:p>
            <w:r>
              <w:rPr>
                <w:rFonts w:ascii="Arial" w:hAnsi="Arial"/>
                <w:color w:val="1C1917"/>
                <w:sz w:val="16"/>
              </w:rPr>
              <w:t>綜合對沖空運罰款與原料損耗，直接轉化為集團稅前淨利（EBITDA 實質增益）。</w:t>
            </w:r>
          </w:p>
        </w:tc>
        <w:tc>
          <w:tcPr>
            <w:tcW w:type="dxa" w:w="2880"/>
            <w:shd w:fill="FFFFFF"/>
            <w:tcMar>
              <w:top w:w="60" w:type="dxa"/>
              <w:bottom w:w="60" w:type="dxa"/>
              <w:left w:w="100" w:type="dxa"/>
              <w:right w:w="100" w:type="dxa"/>
            </w:tcMar>
          </w:tcPr>
          <w:p>
            <w:r>
              <w:rPr>
                <w:rFonts w:ascii="Arial" w:hAnsi="Arial"/>
                <w:color w:val="1C1917"/>
                <w:sz w:val="16"/>
              </w:rPr>
              <w:t>全案以硬性節省對沖 IT 總投資，展現極高財務穩健性與確定性。</w:t>
            </w:r>
          </w:p>
        </w:tc>
        <w:tc>
          <w:tcPr>
            <w:tcW w:type="dxa" w:w="1728"/>
            <w:shd w:fill="FFFFFF"/>
            <w:tcMar>
              <w:top w:w="60" w:type="dxa"/>
              <w:bottom w:w="60" w:type="dxa"/>
              <w:left w:w="100" w:type="dxa"/>
              <w:right w:w="100" w:type="dxa"/>
            </w:tcMar>
          </w:tcPr>
          <w:p>
            <w:r>
              <w:rPr>
                <w:rFonts w:ascii="Arial" w:hAnsi="Arial"/>
                <w:color w:val="1C1917"/>
                <w:sz w:val="16"/>
              </w:rPr>
              <w:t>年總節省現金流：</w:t>
              <w:br/>
              <w:t>NT$ 37,050,000 / 年</w:t>
              <w:br/>
              <w:t>(回收期僅 6.5 個月)</w:t>
            </w:r>
          </w:p>
        </w:tc>
      </w:tr>
    </w:tbl>
    <w:p>
      <w:pPr>
        <w:spacing w:after="80"/>
      </w:pPr>
    </w:p>
    <w:p>
      <w:r>
        <w:br w:type="page"/>
      </w:r>
    </w:p>
    <w:p>
      <w:pPr>
        <w:spacing w:before="160" w:after="80"/>
      </w:pPr>
      <w:r>
        <w:rPr>
          <w:rFonts w:ascii="Arial" w:hAnsi="Arial"/>
          <w:b/>
          <w:color w:val="D97706"/>
          <w:sz w:val="22"/>
        </w:rPr>
        <w:t xml:space="preserve">【第一章：宏觀戰略】 </w:t>
      </w:r>
      <w:r>
        <w:rPr>
          <w:rFonts w:ascii="Arial" w:hAnsi="Arial"/>
          <w:b/>
          <w:color w:val="A83212"/>
          <w:sz w:val="30"/>
        </w:rPr>
        <w:t>1.7 第一階段顧問服務之委任範圍、工作說明書與 17 服務日</w:t>
      </w:r>
    </w:p>
    <w:p>
      <w:pPr>
        <w:spacing w:before="0" w:after="200"/>
      </w:pPr>
      <w:r>
        <w:rPr>
          <w:rFonts w:ascii="Arial" w:hAnsi="Arial"/>
          <w:i/>
          <w:color w:val="78716C"/>
          <w:sz w:val="19"/>
        </w:rPr>
        <w:t>Consulting Engagement Scope, Statement of Work (SOW) &amp; 17 Service Days</w:t>
      </w:r>
    </w:p>
    <w:p>
      <w:pPr>
        <w:spacing w:before="0" w:after="120" w:line="276" w:lineRule="auto"/>
      </w:pPr>
      <w:r>
        <w:rPr>
          <w:rFonts w:ascii="Arial" w:hAnsi="Arial"/>
          <w:color w:val="1C1917"/>
          <w:sz w:val="19"/>
        </w:rPr>
        <w:t>依據雙方簽署之《IT 策略暨數位底座架構顧問委任契約》，第一階段服務期程自 2026 年 11 月 02 日起至 2027 年 01 月 29 日止，合計 12 週。顧問團隊以每週一全日駐點服務為基準，共計投入 17 個法定服務日（包含兩次重大跨國線上架構專題研討會），全面覆蓋工作說明書（SOW）所列之四大模組：</w:t>
      </w:r>
    </w:p>
    <w:p>
      <w:pPr>
        <w:pStyle w:val="ListBullet"/>
        <w:spacing w:before="0" w:after="60" w:line="269" w:lineRule="auto"/>
      </w:pPr>
      <w:r>
        <w:rPr>
          <w:rFonts w:ascii="Arial" w:hAnsi="Arial"/>
          <w:b/>
          <w:color w:val="1C1917"/>
          <w:sz w:val="18"/>
        </w:rPr>
        <w:t>模組 A · 基礎設施與邊緣韌性審定：</w:t>
      </w:r>
      <w:r>
        <w:rPr>
          <w:rFonts w:ascii="Arial" w:hAnsi="Arial"/>
          <w:color w:val="1C1917"/>
          <w:sz w:val="18"/>
        </w:rPr>
        <w:t>完成總部機房 85 萬 25G 網路升級規格確認、NetApp 儲存吞吐驗證、以及海外三廠 ASUS GX10 邊緣工控機選型。</w:t>
      </w:r>
    </w:p>
    <w:p>
      <w:pPr>
        <w:pStyle w:val="ListBullet"/>
        <w:spacing w:before="0" w:after="60" w:line="269" w:lineRule="auto"/>
      </w:pPr>
      <w:r>
        <w:rPr>
          <w:rFonts w:ascii="Arial" w:hAnsi="Arial"/>
          <w:b/>
          <w:color w:val="1C1917"/>
          <w:sz w:val="18"/>
        </w:rPr>
        <w:t>模組 B · 企業架構與雙軌資料湖倉：</w:t>
      </w:r>
      <w:r>
        <w:rPr>
          <w:rFonts w:ascii="Arial" w:hAnsi="Arial"/>
          <w:color w:val="1C1917"/>
          <w:sz w:val="18"/>
        </w:rPr>
        <w:t>完成 D365 F&amp;O (X++) 雲端整合路徑評估、微軟 2026-11-30 舊版停用防禦、以及 MS SQL AlwaysOn CDC 離峰傳輸管線設計。</w:t>
      </w:r>
    </w:p>
    <w:p>
      <w:pPr>
        <w:pStyle w:val="ListBullet"/>
        <w:spacing w:before="0" w:after="60" w:line="269" w:lineRule="auto"/>
      </w:pPr>
      <w:r>
        <w:rPr>
          <w:rFonts w:ascii="Arial" w:hAnsi="Arial"/>
          <w:b/>
          <w:color w:val="1C1917"/>
          <w:sz w:val="18"/>
        </w:rPr>
        <w:t>模組 C · 應用系統體檢與團隊版控治理：</w:t>
      </w:r>
      <w:r>
        <w:rPr>
          <w:rFonts w:ascii="Arial" w:hAnsi="Arial"/>
          <w:color w:val="1C1917"/>
          <w:sz w:val="18"/>
        </w:rPr>
        <w:t>深入體檢 RD Sample、D365 外掛、CQS 與快遞系統，制定 SCM 收斂至集團統一 GitLab ＋ Notion 之實施藍圖。</w:t>
      </w:r>
    </w:p>
    <w:p>
      <w:pPr>
        <w:pStyle w:val="ListBullet"/>
        <w:spacing w:before="0" w:after="60" w:line="269" w:lineRule="auto"/>
      </w:pPr>
      <w:r>
        <w:rPr>
          <w:rFonts w:ascii="Arial" w:hAnsi="Arial"/>
          <w:b/>
          <w:color w:val="1C1917"/>
          <w:sz w:val="18"/>
        </w:rPr>
        <w:t>模組 D · 企業級 AI 治理與預算收斂：</w:t>
      </w:r>
      <w:r>
        <w:rPr>
          <w:rFonts w:ascii="Arial" w:hAnsi="Arial"/>
          <w:color w:val="1C1917"/>
          <w:sz w:val="18"/>
        </w:rPr>
        <w:t>引進金管會 GenAI 六大原則，建立成衣款式圖去識別化 SOP、AWS 雲端糧草配置與 100 頁總結報告交付。</w:t>
      </w:r>
    </w:p>
    <w:p>
      <w:r>
        <w:br w:type="page"/>
      </w:r>
    </w:p>
    <w:p>
      <w:pPr>
        <w:spacing w:before="160" w:after="80"/>
      </w:pPr>
      <w:r>
        <w:rPr>
          <w:rFonts w:ascii="Arial" w:hAnsi="Arial"/>
          <w:b/>
          <w:color w:val="D97706"/>
          <w:sz w:val="22"/>
        </w:rPr>
        <w:t xml:space="preserve">【第一章：宏觀戰略】 </w:t>
      </w:r>
      <w:r>
        <w:rPr>
          <w:rFonts w:ascii="Arial" w:hAnsi="Arial"/>
          <w:b/>
          <w:color w:val="A83212"/>
          <w:sz w:val="30"/>
        </w:rPr>
        <w:t>1.8 組織協同模式：計劃主持人與執行負責人高效對齊機制</w:t>
      </w:r>
    </w:p>
    <w:p>
      <w:pPr>
        <w:spacing w:before="0" w:after="200"/>
      </w:pPr>
      <w:r>
        <w:rPr>
          <w:rFonts w:ascii="Arial" w:hAnsi="Arial"/>
          <w:i/>
          <w:color w:val="78716C"/>
          <w:sz w:val="19"/>
        </w:rPr>
        <w:t>Governance Alignment · Sponsor &amp; Lead Architect Collaboration</w:t>
      </w:r>
    </w:p>
    <w:p>
      <w:pPr>
        <w:spacing w:before="0" w:after="120" w:line="276" w:lineRule="auto"/>
      </w:pPr>
      <w:r>
        <w:rPr>
          <w:rFonts w:ascii="Arial" w:hAnsi="Arial"/>
          <w:color w:val="1C1917"/>
          <w:sz w:val="19"/>
        </w:rPr>
        <w:t>蜂巢計畫之所以能在短短 12 週內完成龐大跨國技術資產之梳理與定調，關鍵在於建立了極具敏捷度的『雙軌高層對齊機制』：</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溝通機制與通路</w:t>
            </w:r>
          </w:p>
        </w:tc>
        <w:tc>
          <w:tcPr>
            <w:tcW w:type="dxa" w:w="2592"/>
            <w:shd w:fill="F5EFEB"/>
            <w:tcMar>
              <w:top w:w="80" w:type="dxa"/>
              <w:bottom w:w="80" w:type="dxa"/>
              <w:left w:w="100" w:type="dxa"/>
              <w:right w:w="100" w:type="dxa"/>
            </w:tcMar>
          </w:tcPr>
          <w:p>
            <w:r>
              <w:rPr>
                <w:rFonts w:ascii="Arial" w:hAnsi="Arial"/>
                <w:b/>
                <w:color w:val="A83212"/>
                <w:sz w:val="17"/>
              </w:rPr>
              <w:t>頻率與參與人員</w:t>
            </w:r>
          </w:p>
        </w:tc>
        <w:tc>
          <w:tcPr>
            <w:tcW w:type="dxa" w:w="3168"/>
            <w:shd w:fill="F5EFEB"/>
            <w:tcMar>
              <w:top w:w="80" w:type="dxa"/>
              <w:bottom w:w="80" w:type="dxa"/>
              <w:left w:w="100" w:type="dxa"/>
              <w:right w:w="100" w:type="dxa"/>
            </w:tcMar>
          </w:tcPr>
          <w:p>
            <w:r>
              <w:rPr>
                <w:rFonts w:ascii="Arial" w:hAnsi="Arial"/>
                <w:b/>
                <w:color w:val="A83212"/>
                <w:sz w:val="17"/>
              </w:rPr>
              <w:t>主要處理議題與議事規則</w:t>
            </w:r>
          </w:p>
        </w:tc>
        <w:tc>
          <w:tcPr>
            <w:tcW w:type="dxa" w:w="2016"/>
            <w:shd w:fill="F5EFEB"/>
            <w:tcMar>
              <w:top w:w="80" w:type="dxa"/>
              <w:bottom w:w="80" w:type="dxa"/>
              <w:left w:w="100" w:type="dxa"/>
              <w:right w:w="100" w:type="dxa"/>
            </w:tcMar>
          </w:tcPr>
          <w:p>
            <w:r>
              <w:rPr>
                <w:rFonts w:ascii="Arial" w:hAnsi="Arial"/>
                <w:b/>
                <w:color w:val="A83212"/>
                <w:sz w:val="17"/>
              </w:rPr>
              <w:t>成果落地沉澱載體</w:t>
            </w:r>
          </w:p>
        </w:tc>
      </w:tr>
      <w:tr>
        <w:tc>
          <w:tcPr>
            <w:tcW w:type="dxa" w:w="2592"/>
            <w:shd w:fill="FFFFFF"/>
            <w:tcMar>
              <w:top w:w="60" w:type="dxa"/>
              <w:bottom w:w="60" w:type="dxa"/>
              <w:left w:w="100" w:type="dxa"/>
              <w:right w:w="100" w:type="dxa"/>
            </w:tcMar>
          </w:tcPr>
          <w:p>
            <w:r>
              <w:rPr>
                <w:rFonts w:ascii="Arial" w:hAnsi="Arial"/>
                <w:color w:val="1C1917"/>
                <w:sz w:val="16"/>
              </w:rPr>
              <w:t>每週一現場諮詢會</w:t>
              <w:br/>
              <w:t>(Weekly In-depth)</w:t>
            </w:r>
          </w:p>
        </w:tc>
        <w:tc>
          <w:tcPr>
            <w:tcW w:type="dxa" w:w="2592"/>
            <w:shd w:fill="FFFFFF"/>
            <w:tcMar>
              <w:top w:w="60" w:type="dxa"/>
              <w:bottom w:w="60" w:type="dxa"/>
              <w:left w:w="100" w:type="dxa"/>
              <w:right w:w="100" w:type="dxa"/>
            </w:tcMar>
          </w:tcPr>
          <w:p>
            <w:r>
              <w:rPr>
                <w:rFonts w:ascii="Arial" w:hAnsi="Arial"/>
                <w:color w:val="1C1917"/>
                <w:sz w:val="16"/>
              </w:rPr>
              <w:t>每週一 09:30~17:30</w:t>
              <w:br/>
              <w:t>周副總 ＋ Howard</w:t>
            </w:r>
          </w:p>
        </w:tc>
        <w:tc>
          <w:tcPr>
            <w:tcW w:type="dxa" w:w="3168"/>
            <w:shd w:fill="FFFFFF"/>
            <w:tcMar>
              <w:top w:w="60" w:type="dxa"/>
              <w:bottom w:w="60" w:type="dxa"/>
              <w:left w:w="100" w:type="dxa"/>
              <w:right w:w="100" w:type="dxa"/>
            </w:tcMar>
          </w:tcPr>
          <w:p>
            <w:r>
              <w:rPr>
                <w:rFonts w:ascii="Arial" w:hAnsi="Arial"/>
                <w:color w:val="1C1917"/>
                <w:sz w:val="16"/>
              </w:rPr>
              <w:t>• 當週工程 WBS 細項成果走查與程式碼架構審定</w:t>
              <w:br/>
              <w:t>• 跨部門行政障礙排除與重大技術決策裁決</w:t>
            </w:r>
          </w:p>
        </w:tc>
        <w:tc>
          <w:tcPr>
            <w:tcW w:type="dxa" w:w="2016"/>
            <w:shd w:fill="FFFFFF"/>
            <w:tcMar>
              <w:top w:w="60" w:type="dxa"/>
              <w:bottom w:w="60" w:type="dxa"/>
              <w:left w:w="100" w:type="dxa"/>
              <w:right w:w="100" w:type="dxa"/>
            </w:tcMar>
          </w:tcPr>
          <w:p>
            <w:r>
              <w:rPr>
                <w:rFonts w:ascii="Arial" w:hAnsi="Arial"/>
                <w:color w:val="1C1917"/>
                <w:sz w:val="16"/>
              </w:rPr>
              <w:t>產出每週專屬服務紀錄與架構更新圖資。</w:t>
            </w:r>
          </w:p>
        </w:tc>
      </w:tr>
      <w:tr>
        <w:tc>
          <w:tcPr>
            <w:tcW w:type="dxa" w:w="2592"/>
            <w:shd w:fill="FAFAF9"/>
            <w:tcMar>
              <w:top w:w="60" w:type="dxa"/>
              <w:bottom w:w="60" w:type="dxa"/>
              <w:left w:w="100" w:type="dxa"/>
              <w:right w:w="100" w:type="dxa"/>
            </w:tcMar>
          </w:tcPr>
          <w:p>
            <w:r>
              <w:rPr>
                <w:rFonts w:ascii="Arial" w:hAnsi="Arial"/>
                <w:color w:val="1C1917"/>
                <w:sz w:val="16"/>
              </w:rPr>
              <w:t>LINE 即時戰略對齊</w:t>
              <w:br/>
              <w:t>(Executive Hot-line)</w:t>
            </w:r>
          </w:p>
        </w:tc>
        <w:tc>
          <w:tcPr>
            <w:tcW w:type="dxa" w:w="2592"/>
            <w:shd w:fill="FAFAF9"/>
            <w:tcMar>
              <w:top w:w="60" w:type="dxa"/>
              <w:bottom w:w="60" w:type="dxa"/>
              <w:left w:w="100" w:type="dxa"/>
              <w:right w:w="100" w:type="dxa"/>
            </w:tcMar>
          </w:tcPr>
          <w:p>
            <w:r>
              <w:rPr>
                <w:rFonts w:ascii="Arial" w:hAnsi="Arial"/>
                <w:color w:val="1C1917"/>
                <w:sz w:val="16"/>
              </w:rPr>
              <w:t>日常突發或關鍵決策</w:t>
              <w:br/>
              <w:t>周副總 ＋ Howard</w:t>
            </w:r>
          </w:p>
        </w:tc>
        <w:tc>
          <w:tcPr>
            <w:tcW w:type="dxa" w:w="3168"/>
            <w:shd w:fill="FAFAF9"/>
            <w:tcMar>
              <w:top w:w="60" w:type="dxa"/>
              <w:bottom w:w="60" w:type="dxa"/>
              <w:left w:w="100" w:type="dxa"/>
              <w:right w:w="100" w:type="dxa"/>
            </w:tcMar>
          </w:tcPr>
          <w:p>
            <w:r>
              <w:rPr>
                <w:rFonts w:ascii="Arial" w:hAnsi="Arial"/>
                <w:color w:val="1C1917"/>
                <w:sz w:val="16"/>
              </w:rPr>
              <w:t>• 快速核對硬體規格（如 Core Switch 模組更換）</w:t>
              <w:br/>
              <w:t>• 預算概念釐清（如澄清 AWS 雲端年費非月費）</w:t>
            </w:r>
          </w:p>
        </w:tc>
        <w:tc>
          <w:tcPr>
            <w:tcW w:type="dxa" w:w="2016"/>
            <w:shd w:fill="FAFAF9"/>
            <w:tcMar>
              <w:top w:w="60" w:type="dxa"/>
              <w:bottom w:w="60" w:type="dxa"/>
              <w:left w:w="100" w:type="dxa"/>
              <w:right w:w="100" w:type="dxa"/>
            </w:tcMar>
          </w:tcPr>
          <w:p>
            <w:r>
              <w:rPr>
                <w:rFonts w:ascii="Arial" w:hAnsi="Arial"/>
                <w:color w:val="1C1917"/>
                <w:sz w:val="16"/>
              </w:rPr>
              <w:t>當日立即轉化為會議紀錄並加密歸檔。</w:t>
            </w:r>
          </w:p>
        </w:tc>
      </w:tr>
      <w:tr>
        <w:tc>
          <w:tcPr>
            <w:tcW w:type="dxa" w:w="2592"/>
            <w:shd w:fill="FFFFFF"/>
            <w:tcMar>
              <w:top w:w="60" w:type="dxa"/>
              <w:bottom w:w="60" w:type="dxa"/>
              <w:left w:w="100" w:type="dxa"/>
              <w:right w:w="100" w:type="dxa"/>
            </w:tcMar>
          </w:tcPr>
          <w:p>
            <w:r>
              <w:rPr>
                <w:rFonts w:ascii="Arial" w:hAnsi="Arial"/>
                <w:color w:val="1C1917"/>
                <w:sz w:val="16"/>
              </w:rPr>
              <w:t>ITS 技術幹部研討</w:t>
              <w:br/>
              <w:t>(Technical Workshops)</w:t>
            </w:r>
          </w:p>
        </w:tc>
        <w:tc>
          <w:tcPr>
            <w:tcW w:type="dxa" w:w="2592"/>
            <w:shd w:fill="FFFFFF"/>
            <w:tcMar>
              <w:top w:w="60" w:type="dxa"/>
              <w:bottom w:w="60" w:type="dxa"/>
              <w:left w:w="100" w:type="dxa"/>
              <w:right w:w="100" w:type="dxa"/>
            </w:tcMar>
          </w:tcPr>
          <w:p>
            <w:r>
              <w:rPr>
                <w:rFonts w:ascii="Arial" w:hAnsi="Arial"/>
                <w:color w:val="1C1917"/>
                <w:sz w:val="16"/>
              </w:rPr>
              <w:t>隔週四 14:00~16:00</w:t>
              <w:br/>
              <w:t>16 位工程師 ＋ 顧問</w:t>
            </w:r>
          </w:p>
        </w:tc>
        <w:tc>
          <w:tcPr>
            <w:tcW w:type="dxa" w:w="3168"/>
            <w:shd w:fill="FFFFFF"/>
            <w:tcMar>
              <w:top w:w="60" w:type="dxa"/>
              <w:bottom w:w="60" w:type="dxa"/>
              <w:left w:w="100" w:type="dxa"/>
              <w:right w:w="100" w:type="dxa"/>
            </w:tcMar>
          </w:tcPr>
          <w:p>
            <w:r>
              <w:rPr>
                <w:rFonts w:ascii="Arial" w:hAnsi="Arial"/>
                <w:color w:val="1C1917"/>
                <w:sz w:val="16"/>
              </w:rPr>
              <w:t>• C# .NET 8 標準 API 規範與信封模式培訓</w:t>
              <w:br/>
              <w:t>• 4-Gate 策略模式實作演練與 GitLab MR 操作</w:t>
            </w:r>
          </w:p>
        </w:tc>
        <w:tc>
          <w:tcPr>
            <w:tcW w:type="dxa" w:w="2016"/>
            <w:shd w:fill="FFFFFF"/>
            <w:tcMar>
              <w:top w:w="60" w:type="dxa"/>
              <w:bottom w:w="60" w:type="dxa"/>
              <w:left w:w="100" w:type="dxa"/>
              <w:right w:w="100" w:type="dxa"/>
            </w:tcMar>
          </w:tcPr>
          <w:p>
            <w:r>
              <w:rPr>
                <w:rFonts w:ascii="Arial" w:hAnsi="Arial"/>
                <w:color w:val="1C1917"/>
                <w:sz w:val="16"/>
              </w:rPr>
              <w:t>更新至 Notion 集團知識庫與代碼庫樣板。</w:t>
            </w:r>
          </w:p>
        </w:tc>
      </w:tr>
      <w:tr>
        <w:tc>
          <w:tcPr>
            <w:tcW w:type="dxa" w:w="2592"/>
            <w:shd w:fill="FAFAF9"/>
            <w:tcMar>
              <w:top w:w="60" w:type="dxa"/>
              <w:bottom w:w="60" w:type="dxa"/>
              <w:left w:w="100" w:type="dxa"/>
              <w:right w:w="100" w:type="dxa"/>
            </w:tcMar>
          </w:tcPr>
          <w:p>
            <w:r>
              <w:rPr>
                <w:rFonts w:ascii="Arial" w:hAnsi="Arial"/>
                <w:color w:val="1C1917"/>
                <w:sz w:val="16"/>
              </w:rPr>
              <w:t>經營委員會月度匯報</w:t>
              <w:br/>
              <w:t>(Steering Committee)</w:t>
            </w:r>
          </w:p>
        </w:tc>
        <w:tc>
          <w:tcPr>
            <w:tcW w:type="dxa" w:w="2592"/>
            <w:shd w:fill="FAFAF9"/>
            <w:tcMar>
              <w:top w:w="60" w:type="dxa"/>
              <w:bottom w:w="60" w:type="dxa"/>
              <w:left w:w="100" w:type="dxa"/>
              <w:right w:w="100" w:type="dxa"/>
            </w:tcMar>
          </w:tcPr>
          <w:p>
            <w:r>
              <w:rPr>
                <w:rFonts w:ascii="Arial" w:hAnsi="Arial"/>
                <w:color w:val="1C1917"/>
                <w:sz w:val="16"/>
              </w:rPr>
              <w:t>每月最後一週</w:t>
              <w:br/>
              <w:t>周副總、處長、顧問</w:t>
            </w:r>
          </w:p>
        </w:tc>
        <w:tc>
          <w:tcPr>
            <w:tcW w:type="dxa" w:w="3168"/>
            <w:shd w:fill="FAFAF9"/>
            <w:tcMar>
              <w:top w:w="60" w:type="dxa"/>
              <w:bottom w:w="60" w:type="dxa"/>
              <w:left w:w="100" w:type="dxa"/>
              <w:right w:w="100" w:type="dxa"/>
            </w:tcMar>
          </w:tcPr>
          <w:p>
            <w:r>
              <w:rPr>
                <w:rFonts w:ascii="Arial" w:hAnsi="Arial"/>
                <w:color w:val="1C1917"/>
                <w:sz w:val="16"/>
              </w:rPr>
              <w:t>• 資本支出進度審查與里程碑驗收核可 (M1/M2)</w:t>
              <w:br/>
              <w:t>• 跨國廠區邊緣部署進度與風險預警提報</w:t>
            </w:r>
          </w:p>
        </w:tc>
        <w:tc>
          <w:tcPr>
            <w:tcW w:type="dxa" w:w="2016"/>
            <w:shd w:fill="FAFAF9"/>
            <w:tcMar>
              <w:top w:w="60" w:type="dxa"/>
              <w:bottom w:w="60" w:type="dxa"/>
              <w:left w:w="100" w:type="dxa"/>
              <w:right w:w="100" w:type="dxa"/>
            </w:tcMar>
          </w:tcPr>
          <w:p>
            <w:r>
              <w:rPr>
                <w:rFonts w:ascii="Arial" w:hAnsi="Arial"/>
                <w:color w:val="1C1917"/>
                <w:sz w:val="16"/>
              </w:rPr>
              <w:t>呈報董事會正式備查之雙簽總結文件。</w:t>
            </w:r>
          </w:p>
        </w:tc>
      </w:tr>
    </w:tbl>
    <w:p>
      <w:pPr>
        <w:spacing w:after="80"/>
      </w:pPr>
    </w:p>
    <w:p>
      <w:r>
        <w:br w:type="page"/>
      </w:r>
    </w:p>
    <w:p>
      <w:pPr>
        <w:spacing w:before="160" w:after="80"/>
      </w:pPr>
      <w:r>
        <w:rPr>
          <w:rFonts w:ascii="Arial" w:hAnsi="Arial"/>
          <w:b/>
          <w:color w:val="D97706"/>
          <w:sz w:val="22"/>
        </w:rPr>
        <w:t xml:space="preserve">【第二章：系統體檢】 </w:t>
      </w:r>
      <w:r>
        <w:rPr>
          <w:rFonts w:ascii="Arial" w:hAnsi="Arial"/>
          <w:b/>
          <w:color w:val="A83212"/>
          <w:sz w:val="30"/>
        </w:rPr>
        <w:t>2.1 台北總部與海外廠資通訊機房基礎設施現況盤點</w:t>
      </w:r>
    </w:p>
    <w:p>
      <w:pPr>
        <w:spacing w:before="0" w:after="200"/>
      </w:pPr>
      <w:r>
        <w:rPr>
          <w:rFonts w:ascii="Arial" w:hAnsi="Arial"/>
          <w:i/>
          <w:color w:val="78716C"/>
          <w:sz w:val="19"/>
        </w:rPr>
        <w:t>Data Center Facilities, Core Hardware &amp; Virtualization Audit</w:t>
      </w:r>
    </w:p>
    <w:p>
      <w:pPr>
        <w:spacing w:before="0" w:after="120" w:line="276" w:lineRule="auto"/>
      </w:pPr>
      <w:r>
        <w:rPr>
          <w:rFonts w:ascii="Arial" w:hAnsi="Arial"/>
          <w:color w:val="1C1917"/>
          <w:sz w:val="19"/>
        </w:rPr>
        <w:t>在第一階段前三週，顧問團隊針對台北營運總部與東南亞三座生產工廠之實體機房展開了逐台設備的硬體規格與虛擬化環境穿行盤點。總部機房目前承載集團核心運營數據，現況主要由 VMware vSphere 7.0 叢集運行約 65 台虛擬伺服器，底層儲存採用 NetApp FAS 系列全快閃/混合儲存陣列。</w:t>
      </w:r>
    </w:p>
    <w:p>
      <w:pPr>
        <w:spacing w:before="0" w:after="120" w:line="276" w:lineRule="auto"/>
      </w:pPr>
      <w:r>
        <w:rPr>
          <w:rFonts w:ascii="Arial" w:hAnsi="Arial"/>
          <w:color w:val="1C1917"/>
          <w:sz w:val="19"/>
        </w:rPr>
        <w:t>盤點發現，總部機房伺服器運算資源尚稱充裕，但底層儲存網路依然停留在傳統 10Gbps SFP+ 架構。當未來海量成衣『訂單款式結構圖』向量化特徵資料庫與各廠 CDC 異動資料匯入時，10G 頻寬將成為最致命的 I/O 吞吐瓶頸，極易引發 GPU 訓練運算時的『資料飢餓（Data Starvation）』現象。</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【機房工程體檢結論】</w:t>
              <w:br/>
            </w:r>
            <w:r>
              <w:rPr>
                <w:rFonts w:ascii="Arial" w:hAnsi="Arial"/>
                <w:color w:val="1C1917"/>
                <w:sz w:val="18"/>
              </w:rPr>
              <w:t>機房網路如同人體血管。伺服器 CPU/GPU 算力再強，若儲存網路頻寬不足，運算核心將常態性處於空轉等待資料讀取狀態，巨額投資將大打折扣。</w:t>
            </w:r>
          </w:p>
        </w:tc>
      </w:tr>
    </w:tbl>
    <w:p>
      <w:pPr>
        <w:spacing w:after="80"/>
      </w:pPr>
    </w:p>
    <w:p>
      <w:r>
        <w:br w:type="page"/>
      </w:r>
    </w:p>
    <w:p>
      <w:pPr>
        <w:spacing w:before="160" w:after="80"/>
      </w:pPr>
      <w:r>
        <w:rPr>
          <w:rFonts w:ascii="Arial" w:hAnsi="Arial"/>
          <w:b/>
          <w:color w:val="D97706"/>
          <w:sz w:val="22"/>
        </w:rPr>
        <w:t xml:space="preserve">【第二章：系統體檢】 </w:t>
      </w:r>
      <w:r>
        <w:rPr>
          <w:rFonts w:ascii="Arial" w:hAnsi="Arial"/>
          <w:b/>
          <w:color w:val="A83212"/>
          <w:sz w:val="30"/>
        </w:rPr>
        <w:t>2.2 跨國網路拓撲：SD-WAN 連線頻寬瓶頸與外點離峰傳輸原則</w:t>
      </w:r>
    </w:p>
    <w:p>
      <w:pPr>
        <w:spacing w:before="0" w:after="200"/>
      </w:pPr>
      <w:r>
        <w:rPr>
          <w:rFonts w:ascii="Arial" w:hAnsi="Arial"/>
          <w:i/>
          <w:color w:val="78716C"/>
          <w:sz w:val="19"/>
        </w:rPr>
        <w:t>Cross-Border SD-WAN Realities, Latency Profiles &amp; Off-Peak Policy</w:t>
      </w:r>
    </w:p>
    <w:p>
      <w:pPr>
        <w:spacing w:before="0" w:after="120" w:line="276" w:lineRule="auto"/>
      </w:pPr>
      <w:r>
        <w:rPr>
          <w:rFonts w:ascii="Arial" w:hAnsi="Arial"/>
          <w:color w:val="1C1917"/>
          <w:sz w:val="19"/>
        </w:rPr>
        <w:t>信源跨國廠區目前透過 Cisco / Fortinet SD-WAN 構建星狀（Hub-and-Spoke）企業專網。台北總部為核心 Hub，各海外廠配置 20~30Mbps 之 MPLS/IPSec 雙鏈路備援。實測白天尖峰時段，ERP 交易、視訊會議、工藝圖傳輸與電子郵件已佔用 85% 以上頻寬，延遲波動劇烈（越廠 45ms、柬廠 85ms、印尼廠 140ms）。</w:t>
      </w:r>
    </w:p>
    <w:tbl>
      <w:tblPr>
        <w:tblW w:type="auto" w:w="0"/>
        <w:jc w:val="center"/>
        <w:tblLook w:firstColumn="1" w:firstRow="1" w:lastColumn="0" w:lastRow="0" w:noHBand="0" w:noVBand="1" w:val="04A0"/>
      </w:tblPr>
      <w:tblGrid>
        <w:gridCol w:w="1930"/>
        <w:gridCol w:w="1930"/>
        <w:gridCol w:w="1930"/>
        <w:gridCol w:w="1930"/>
        <w:gridCol w:w="1930"/>
      </w:tblGrid>
      <w:tr>
        <w:tc>
          <w:tcPr>
            <w:tcW w:type="dxa" w:w="2304"/>
            <w:shd w:fill="F5EFEB"/>
            <w:tcMar>
              <w:top w:w="80" w:type="dxa"/>
              <w:bottom w:w="80" w:type="dxa"/>
              <w:left w:w="100" w:type="dxa"/>
              <w:right w:w="100" w:type="dxa"/>
            </w:tcMar>
          </w:tcPr>
          <w:p>
            <w:r>
              <w:rPr>
                <w:rFonts w:ascii="Arial" w:hAnsi="Arial"/>
                <w:b/>
                <w:color w:val="A83212"/>
                <w:sz w:val="17"/>
              </w:rPr>
              <w:t>外點傳輸時段</w:t>
            </w:r>
          </w:p>
        </w:tc>
        <w:tc>
          <w:tcPr>
            <w:tcW w:type="dxa" w:w="1872"/>
            <w:shd w:fill="F5EFEB"/>
            <w:tcMar>
              <w:top w:w="80" w:type="dxa"/>
              <w:bottom w:w="80" w:type="dxa"/>
              <w:left w:w="100" w:type="dxa"/>
              <w:right w:w="100" w:type="dxa"/>
            </w:tcMar>
          </w:tcPr>
          <w:p>
            <w:r>
              <w:rPr>
                <w:rFonts w:ascii="Arial" w:hAnsi="Arial"/>
                <w:b/>
                <w:color w:val="A83212"/>
                <w:sz w:val="17"/>
              </w:rPr>
              <w:t>頻寬佔用率</w:t>
            </w:r>
          </w:p>
        </w:tc>
        <w:tc>
          <w:tcPr>
            <w:tcW w:type="dxa" w:w="1872"/>
            <w:shd w:fill="F5EFEB"/>
            <w:tcMar>
              <w:top w:w="80" w:type="dxa"/>
              <w:bottom w:w="80" w:type="dxa"/>
              <w:left w:w="100" w:type="dxa"/>
              <w:right w:w="100" w:type="dxa"/>
            </w:tcMar>
          </w:tcPr>
          <w:p>
            <w:r>
              <w:rPr>
                <w:rFonts w:ascii="Arial" w:hAnsi="Arial"/>
                <w:b/>
                <w:color w:val="A83212"/>
                <w:sz w:val="17"/>
              </w:rPr>
              <w:t>網路延遲表現</w:t>
            </w:r>
          </w:p>
        </w:tc>
        <w:tc>
          <w:tcPr>
            <w:tcW w:type="dxa" w:w="2592"/>
            <w:shd w:fill="F5EFEB"/>
            <w:tcMar>
              <w:top w:w="80" w:type="dxa"/>
              <w:bottom w:w="80" w:type="dxa"/>
              <w:left w:w="100" w:type="dxa"/>
              <w:right w:w="100" w:type="dxa"/>
            </w:tcMar>
          </w:tcPr>
          <w:p>
            <w:r>
              <w:rPr>
                <w:rFonts w:ascii="Arial" w:hAnsi="Arial"/>
                <w:b/>
                <w:color w:val="A83212"/>
                <w:sz w:val="17"/>
              </w:rPr>
              <w:t>對生產線與車間作業之影響</w:t>
            </w:r>
          </w:p>
        </w:tc>
        <w:tc>
          <w:tcPr>
            <w:tcW w:type="dxa" w:w="1728"/>
            <w:shd w:fill="F5EFEB"/>
            <w:tcMar>
              <w:top w:w="80" w:type="dxa"/>
              <w:bottom w:w="80" w:type="dxa"/>
              <w:left w:w="100" w:type="dxa"/>
              <w:right w:w="100" w:type="dxa"/>
            </w:tcMar>
          </w:tcPr>
          <w:p>
            <w:r>
              <w:rPr>
                <w:rFonts w:ascii="Arial" w:hAnsi="Arial"/>
                <w:b/>
                <w:color w:val="A83212"/>
                <w:sz w:val="17"/>
              </w:rPr>
              <w:t>治理決策方針</w:t>
            </w:r>
          </w:p>
        </w:tc>
      </w:tr>
      <w:tr>
        <w:tc>
          <w:tcPr>
            <w:tcW w:type="dxa" w:w="2304"/>
            <w:shd w:fill="FFFFFF"/>
            <w:tcMar>
              <w:top w:w="60" w:type="dxa"/>
              <w:bottom w:w="60" w:type="dxa"/>
              <w:left w:w="100" w:type="dxa"/>
              <w:right w:w="100" w:type="dxa"/>
            </w:tcMar>
          </w:tcPr>
          <w:p>
            <w:r>
              <w:rPr>
                <w:rFonts w:ascii="Arial" w:hAnsi="Arial"/>
                <w:color w:val="1C1917"/>
                <w:sz w:val="16"/>
              </w:rPr>
              <w:t>日間生產尖峰</w:t>
              <w:br/>
              <w:t>(07:30 ~ 18:30)</w:t>
            </w:r>
          </w:p>
        </w:tc>
        <w:tc>
          <w:tcPr>
            <w:tcW w:type="dxa" w:w="1872"/>
            <w:shd w:fill="FFFFFF"/>
            <w:tcMar>
              <w:top w:w="60" w:type="dxa"/>
              <w:bottom w:w="60" w:type="dxa"/>
              <w:left w:w="100" w:type="dxa"/>
              <w:right w:w="100" w:type="dxa"/>
            </w:tcMar>
          </w:tcPr>
          <w:p>
            <w:r>
              <w:rPr>
                <w:rFonts w:ascii="Arial" w:hAnsi="Arial"/>
                <w:color w:val="1C1917"/>
                <w:sz w:val="16"/>
              </w:rPr>
              <w:t>85% ～ 98%</w:t>
              <w:br/>
              <w:t>(極度擁塞)</w:t>
            </w:r>
          </w:p>
        </w:tc>
        <w:tc>
          <w:tcPr>
            <w:tcW w:type="dxa" w:w="1872"/>
            <w:shd w:fill="FFFFFF"/>
            <w:tcMar>
              <w:top w:w="60" w:type="dxa"/>
              <w:bottom w:w="60" w:type="dxa"/>
              <w:left w:w="100" w:type="dxa"/>
              <w:right w:w="100" w:type="dxa"/>
            </w:tcMar>
          </w:tcPr>
          <w:p>
            <w:r>
              <w:rPr>
                <w:rFonts w:ascii="Arial" w:hAnsi="Arial"/>
                <w:color w:val="1C1917"/>
                <w:sz w:val="16"/>
              </w:rPr>
              <w:t>越南 60ms+</w:t>
              <w:br/>
              <w:t>印尼 220ms+</w:t>
            </w:r>
          </w:p>
        </w:tc>
        <w:tc>
          <w:tcPr>
            <w:tcW w:type="dxa" w:w="2592"/>
            <w:shd w:fill="FFFFFF"/>
            <w:tcMar>
              <w:top w:w="60" w:type="dxa"/>
              <w:bottom w:w="60" w:type="dxa"/>
              <w:left w:w="100" w:type="dxa"/>
              <w:right w:w="100" w:type="dxa"/>
            </w:tcMar>
          </w:tcPr>
          <w:p>
            <w:r>
              <w:rPr>
                <w:rFonts w:ascii="Arial" w:hAnsi="Arial"/>
                <w:color w:val="1C1917"/>
                <w:sz w:val="16"/>
              </w:rPr>
              <w:t>若在此時執行巨量資料同步，將導致車間吊掛系統與刷槍端點連線逾時中斷。</w:t>
            </w:r>
          </w:p>
        </w:tc>
        <w:tc>
          <w:tcPr>
            <w:tcW w:type="dxa" w:w="1728"/>
            <w:shd w:fill="FFFFFF"/>
            <w:tcMar>
              <w:top w:w="60" w:type="dxa"/>
              <w:bottom w:w="60" w:type="dxa"/>
              <w:left w:w="100" w:type="dxa"/>
              <w:right w:w="100" w:type="dxa"/>
            </w:tcMar>
          </w:tcPr>
          <w:p>
            <w:r>
              <w:rPr>
                <w:rFonts w:ascii="Arial" w:hAnsi="Arial"/>
                <w:color w:val="1C1917"/>
                <w:sz w:val="16"/>
              </w:rPr>
              <w:t>★ 剛性禁令：嚴禁任何大數據拋轉，僅允許極輕量 API 交易通訊。</w:t>
            </w:r>
          </w:p>
        </w:tc>
      </w:tr>
      <w:tr>
        <w:tc>
          <w:tcPr>
            <w:tcW w:type="dxa" w:w="2304"/>
            <w:shd w:fill="FAFAF9"/>
            <w:tcMar>
              <w:top w:w="60" w:type="dxa"/>
              <w:bottom w:w="60" w:type="dxa"/>
              <w:left w:w="100" w:type="dxa"/>
              <w:right w:w="100" w:type="dxa"/>
            </w:tcMar>
          </w:tcPr>
          <w:p>
            <w:r>
              <w:rPr>
                <w:rFonts w:ascii="Arial" w:hAnsi="Arial"/>
                <w:color w:val="1C1917"/>
                <w:sz w:val="16"/>
              </w:rPr>
              <w:t>夜間員工休整</w:t>
              <w:br/>
              <w:t>(18:30 ~ 01:00)</w:t>
            </w:r>
          </w:p>
        </w:tc>
        <w:tc>
          <w:tcPr>
            <w:tcW w:type="dxa" w:w="1872"/>
            <w:shd w:fill="FAFAF9"/>
            <w:tcMar>
              <w:top w:w="60" w:type="dxa"/>
              <w:bottom w:w="60" w:type="dxa"/>
              <w:left w:w="100" w:type="dxa"/>
              <w:right w:w="100" w:type="dxa"/>
            </w:tcMar>
          </w:tcPr>
          <w:p>
            <w:r>
              <w:rPr>
                <w:rFonts w:ascii="Arial" w:hAnsi="Arial"/>
                <w:color w:val="1C1917"/>
                <w:sz w:val="16"/>
              </w:rPr>
              <w:t>40% ～ 60%</w:t>
              <w:br/>
              <w:t>(逐漸平穩)</w:t>
            </w:r>
          </w:p>
        </w:tc>
        <w:tc>
          <w:tcPr>
            <w:tcW w:type="dxa" w:w="1872"/>
            <w:shd w:fill="FAFAF9"/>
            <w:tcMar>
              <w:top w:w="60" w:type="dxa"/>
              <w:bottom w:w="60" w:type="dxa"/>
              <w:left w:w="100" w:type="dxa"/>
              <w:right w:w="100" w:type="dxa"/>
            </w:tcMar>
          </w:tcPr>
          <w:p>
            <w:r>
              <w:rPr>
                <w:rFonts w:ascii="Arial" w:hAnsi="Arial"/>
                <w:color w:val="1C1917"/>
                <w:sz w:val="16"/>
              </w:rPr>
              <w:t>越南 35ms</w:t>
              <w:br/>
              <w:t>印尼 120ms</w:t>
            </w:r>
          </w:p>
        </w:tc>
        <w:tc>
          <w:tcPr>
            <w:tcW w:type="dxa" w:w="2592"/>
            <w:shd w:fill="FAFAF9"/>
            <w:tcMar>
              <w:top w:w="60" w:type="dxa"/>
              <w:bottom w:w="60" w:type="dxa"/>
              <w:left w:w="100" w:type="dxa"/>
              <w:right w:w="100" w:type="dxa"/>
            </w:tcMar>
          </w:tcPr>
          <w:p>
            <w:r>
              <w:rPr>
                <w:rFonts w:ascii="Arial" w:hAnsi="Arial"/>
                <w:color w:val="1C1917"/>
                <w:sz w:val="16"/>
              </w:rPr>
              <w:t>跨國視訊結束，頻寬釋放，海外廠進行本地伺服器例行防毒與快照備份。</w:t>
            </w:r>
          </w:p>
        </w:tc>
        <w:tc>
          <w:tcPr>
            <w:tcW w:type="dxa" w:w="1728"/>
            <w:shd w:fill="FAFAF9"/>
            <w:tcMar>
              <w:top w:w="60" w:type="dxa"/>
              <w:bottom w:w="60" w:type="dxa"/>
              <w:left w:w="100" w:type="dxa"/>
              <w:right w:w="100" w:type="dxa"/>
            </w:tcMar>
          </w:tcPr>
          <w:p>
            <w:r>
              <w:rPr>
                <w:rFonts w:ascii="Arial" w:hAnsi="Arial"/>
                <w:color w:val="1C1917"/>
                <w:sz w:val="16"/>
              </w:rPr>
              <w:t>監控鏈路健康度，準備資料壓縮打包作業。</w:t>
            </w:r>
          </w:p>
        </w:tc>
      </w:tr>
      <w:tr>
        <w:tc>
          <w:tcPr>
            <w:tcW w:type="dxa" w:w="2304"/>
            <w:shd w:fill="FFFFFF"/>
            <w:tcMar>
              <w:top w:w="60" w:type="dxa"/>
              <w:bottom w:w="60" w:type="dxa"/>
              <w:left w:w="100" w:type="dxa"/>
              <w:right w:w="100" w:type="dxa"/>
            </w:tcMar>
          </w:tcPr>
          <w:p>
            <w:r>
              <w:rPr>
                <w:rFonts w:ascii="Arial" w:hAnsi="Arial"/>
                <w:color w:val="1C1917"/>
                <w:sz w:val="16"/>
              </w:rPr>
              <w:t>深夜黃金離峰</w:t>
              <w:br/>
              <w:t>(01:00 ~ 03:00)</w:t>
            </w:r>
          </w:p>
        </w:tc>
        <w:tc>
          <w:tcPr>
            <w:tcW w:type="dxa" w:w="1872"/>
            <w:shd w:fill="FFFFFF"/>
            <w:tcMar>
              <w:top w:w="60" w:type="dxa"/>
              <w:bottom w:w="60" w:type="dxa"/>
              <w:left w:w="100" w:type="dxa"/>
              <w:right w:w="100" w:type="dxa"/>
            </w:tcMar>
          </w:tcPr>
          <w:p>
            <w:r>
              <w:rPr>
                <w:rFonts w:ascii="Arial" w:hAnsi="Arial"/>
                <w:color w:val="1C1917"/>
                <w:sz w:val="16"/>
              </w:rPr>
              <w:t>10% ～ 20%</w:t>
              <w:br/>
              <w:t>(完全空閒)</w:t>
            </w:r>
          </w:p>
        </w:tc>
        <w:tc>
          <w:tcPr>
            <w:tcW w:type="dxa" w:w="1872"/>
            <w:shd w:fill="FFFFFF"/>
            <w:tcMar>
              <w:top w:w="60" w:type="dxa"/>
              <w:bottom w:w="60" w:type="dxa"/>
              <w:left w:w="100" w:type="dxa"/>
              <w:right w:w="100" w:type="dxa"/>
            </w:tcMar>
          </w:tcPr>
          <w:p>
            <w:r>
              <w:rPr>
                <w:rFonts w:ascii="Arial" w:hAnsi="Arial"/>
                <w:color w:val="1C1917"/>
                <w:sz w:val="16"/>
              </w:rPr>
              <w:t>越南 28ms</w:t>
              <w:br/>
              <w:t>印尼 95ms</w:t>
            </w:r>
          </w:p>
        </w:tc>
        <w:tc>
          <w:tcPr>
            <w:tcW w:type="dxa" w:w="2592"/>
            <w:shd w:fill="FFFFFF"/>
            <w:tcMar>
              <w:top w:w="60" w:type="dxa"/>
              <w:bottom w:w="60" w:type="dxa"/>
              <w:left w:w="100" w:type="dxa"/>
              <w:right w:w="100" w:type="dxa"/>
            </w:tcMar>
          </w:tcPr>
          <w:p>
            <w:r>
              <w:rPr>
                <w:rFonts w:ascii="Arial" w:hAnsi="Arial"/>
                <w:color w:val="1C1917"/>
                <w:sz w:val="16"/>
              </w:rPr>
              <w:t>全廠停工休眠，跨國專線擁有 80% 以上純淨可用頻寬。</w:t>
            </w:r>
          </w:p>
        </w:tc>
        <w:tc>
          <w:tcPr>
            <w:tcW w:type="dxa" w:w="1728"/>
            <w:shd w:fill="FFFFFF"/>
            <w:tcMar>
              <w:top w:w="60" w:type="dxa"/>
              <w:bottom w:w="60" w:type="dxa"/>
              <w:left w:w="100" w:type="dxa"/>
              <w:right w:w="100" w:type="dxa"/>
            </w:tcMar>
          </w:tcPr>
          <w:p>
            <w:r>
              <w:rPr>
                <w:rFonts w:ascii="Arial" w:hAnsi="Arial"/>
                <w:color w:val="1C1917"/>
                <w:sz w:val="16"/>
              </w:rPr>
              <w:t>★ 唯一窗口：執行海外廠 MS SQL CDC 異動增量打包一日一次拋轉。</w:t>
            </w:r>
          </w:p>
        </w:tc>
      </w:tr>
      <w:tr>
        <w:tc>
          <w:tcPr>
            <w:tcW w:type="dxa" w:w="2304"/>
            <w:shd w:fill="FAFAF9"/>
            <w:tcMar>
              <w:top w:w="60" w:type="dxa"/>
              <w:bottom w:w="60" w:type="dxa"/>
              <w:left w:w="100" w:type="dxa"/>
              <w:right w:w="100" w:type="dxa"/>
            </w:tcMar>
          </w:tcPr>
          <w:p>
            <w:r>
              <w:rPr>
                <w:rFonts w:ascii="Arial" w:hAnsi="Arial"/>
                <w:color w:val="1C1917"/>
                <w:sz w:val="16"/>
              </w:rPr>
              <w:t>清晨晨會前夕</w:t>
              <w:br/>
              <w:t>(03:00 ~ 07:30)</w:t>
            </w:r>
          </w:p>
        </w:tc>
        <w:tc>
          <w:tcPr>
            <w:tcW w:type="dxa" w:w="1872"/>
            <w:shd w:fill="FAFAF9"/>
            <w:tcMar>
              <w:top w:w="60" w:type="dxa"/>
              <w:bottom w:w="60" w:type="dxa"/>
              <w:left w:w="100" w:type="dxa"/>
              <w:right w:w="100" w:type="dxa"/>
            </w:tcMar>
          </w:tcPr>
          <w:p>
            <w:r>
              <w:rPr>
                <w:rFonts w:ascii="Arial" w:hAnsi="Arial"/>
                <w:color w:val="1C1917"/>
                <w:sz w:val="16"/>
              </w:rPr>
              <w:t>15% ～ 30%</w:t>
              <w:br/>
              <w:t>(系統運算)</w:t>
            </w:r>
          </w:p>
        </w:tc>
        <w:tc>
          <w:tcPr>
            <w:tcW w:type="dxa" w:w="1872"/>
            <w:shd w:fill="FAFAF9"/>
            <w:tcMar>
              <w:top w:w="60" w:type="dxa"/>
              <w:bottom w:w="60" w:type="dxa"/>
              <w:left w:w="100" w:type="dxa"/>
              <w:right w:w="100" w:type="dxa"/>
            </w:tcMar>
          </w:tcPr>
          <w:p>
            <w:r>
              <w:rPr>
                <w:rFonts w:ascii="Arial" w:hAnsi="Arial"/>
                <w:color w:val="1C1917"/>
                <w:sz w:val="16"/>
              </w:rPr>
              <w:t>穩定正常</w:t>
            </w:r>
          </w:p>
        </w:tc>
        <w:tc>
          <w:tcPr>
            <w:tcW w:type="dxa" w:w="2592"/>
            <w:shd w:fill="FAFAF9"/>
            <w:tcMar>
              <w:top w:w="60" w:type="dxa"/>
              <w:bottom w:w="60" w:type="dxa"/>
              <w:left w:w="100" w:type="dxa"/>
              <w:right w:w="100" w:type="dxa"/>
            </w:tcMar>
          </w:tcPr>
          <w:p>
            <w:r>
              <w:rPr>
                <w:rFonts w:ascii="Arial" w:hAnsi="Arial"/>
                <w:color w:val="1C1917"/>
                <w:sz w:val="16"/>
              </w:rPr>
              <w:t>總部資料湖執行 Medallion 三層清洗，自動產出各廠廠長清晨 06:00 晨會報表。</w:t>
            </w:r>
          </w:p>
        </w:tc>
        <w:tc>
          <w:tcPr>
            <w:tcW w:type="dxa" w:w="1728"/>
            <w:shd w:fill="FAFAF9"/>
            <w:tcMar>
              <w:top w:w="60" w:type="dxa"/>
              <w:bottom w:w="60" w:type="dxa"/>
              <w:left w:w="100" w:type="dxa"/>
              <w:right w:w="100" w:type="dxa"/>
            </w:tcMar>
          </w:tcPr>
          <w:p>
            <w:r>
              <w:rPr>
                <w:rFonts w:ascii="Arial" w:hAnsi="Arial"/>
                <w:color w:val="1C1917"/>
                <w:sz w:val="16"/>
              </w:rPr>
              <w:t>各廠長晨會開台，無縫檢閱前日生產達成率與品質良率。</w:t>
            </w:r>
          </w:p>
        </w:tc>
      </w:tr>
    </w:tbl>
    <w:p>
      <w:pPr>
        <w:spacing w:after="80"/>
      </w:pPr>
    </w:p>
    <w:p>
      <w:r>
        <w:br w:type="page"/>
      </w:r>
    </w:p>
    <w:p>
      <w:pPr>
        <w:spacing w:before="160" w:after="80"/>
      </w:pPr>
      <w:r>
        <w:rPr>
          <w:rFonts w:ascii="Arial" w:hAnsi="Arial"/>
          <w:b/>
          <w:color w:val="D97706"/>
          <w:sz w:val="22"/>
        </w:rPr>
        <w:t xml:space="preserve">【第二章：系統體檢】 </w:t>
      </w:r>
      <w:r>
        <w:rPr>
          <w:rFonts w:ascii="Arial" w:hAnsi="Arial"/>
          <w:b/>
          <w:color w:val="A83212"/>
          <w:sz w:val="30"/>
        </w:rPr>
        <w:t>2.3 核心 ERP：Dynamics 365 Finance &amp; Operations 現行架構</w:t>
      </w:r>
    </w:p>
    <w:p>
      <w:pPr>
        <w:spacing w:before="0" w:after="200"/>
      </w:pPr>
      <w:r>
        <w:rPr>
          <w:rFonts w:ascii="Arial" w:hAnsi="Arial"/>
          <w:i/>
          <w:color w:val="78716C"/>
          <w:sz w:val="19"/>
        </w:rPr>
        <w:t>Tier-1 Core ERP · Microsoft Dynamics 365 F&amp;O (X++) Architecture</w:t>
      </w:r>
    </w:p>
    <w:p>
      <w:pPr>
        <w:spacing w:before="0" w:after="120" w:line="276" w:lineRule="auto"/>
      </w:pPr>
      <w:r>
        <w:rPr>
          <w:rFonts w:ascii="Arial" w:hAnsi="Arial"/>
          <w:color w:val="1C1917"/>
          <w:sz w:val="19"/>
        </w:rPr>
        <w:t>信源全集團的核心營運心臟為微軟 **Dynamics 365 Finance &amp; Operations (D365 F&amp;O / SCM)** 雲端版。該系統完全基於微軟雲端 SaaS 託管，內部 ERP 開發團隊採用微軟專屬之 **X++ 語言** 進行成衣業務流程客製、BOM 表展開、主生產排程（MPS）與集團財務總帳管理。</w:t>
      </w:r>
    </w:p>
    <w:p>
      <w:pPr>
        <w:spacing w:before="0" w:after="120" w:line="276" w:lineRule="auto"/>
      </w:pPr>
      <w:r>
        <w:rPr>
          <w:rFonts w:ascii="Arial" w:hAnsi="Arial"/>
          <w:color w:val="1C1917"/>
          <w:sz w:val="19"/>
        </w:rPr>
        <w:t>D365 F&amp;O 的優勢在於財務與供應鏈邏輯嚴謹，且具備全球法定稅務合規能力。然而，作為雲端封閉型 SaaS，微軟封鎖了底層 Azure SQL Database 的直接存取權限。外部系統（如工廠 MES 或 AI 應用）絕不可、亦無法直接對其資料庫掛載第三方 CDC 工具（如 Debezium 直抽），必須百分之百遵循微軟官方支援的 Data Entities、OData 與 Synapse Link 管道。</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【核心 ERP 定位原則】</w:t>
              <w:br/>
            </w:r>
            <w:r>
              <w:rPr>
                <w:rFonts w:ascii="Arial" w:hAnsi="Arial"/>
                <w:color w:val="1C1917"/>
                <w:sz w:val="18"/>
              </w:rPr>
              <w:t>D365 F&amp;O 是信源不可動搖的『財務與合約單一真實來源（Single Source of Truth）』。所有 AI 預測或排產建議，最終皆必須回寫或錨定於 D365 的正式工單號，不可脫離 ERP 軌道獨立運作。</w:t>
            </w:r>
          </w:p>
        </w:tc>
      </w:tr>
    </w:tbl>
    <w:p>
      <w:pPr>
        <w:spacing w:after="80"/>
      </w:pPr>
    </w:p>
    <w:p>
      <w:r>
        <w:br w:type="page"/>
      </w:r>
    </w:p>
    <w:p>
      <w:pPr>
        <w:spacing w:before="160" w:after="80"/>
      </w:pPr>
      <w:r>
        <w:rPr>
          <w:rFonts w:ascii="Arial" w:hAnsi="Arial"/>
          <w:b/>
          <w:color w:val="D97706"/>
          <w:sz w:val="22"/>
        </w:rPr>
        <w:t xml:space="preserve">【第二章：系統體檢】 </w:t>
      </w:r>
      <w:r>
        <w:rPr>
          <w:rFonts w:ascii="Arial" w:hAnsi="Arial"/>
          <w:b/>
          <w:color w:val="A83212"/>
          <w:sz w:val="30"/>
        </w:rPr>
        <w:t>2.4 D365 F&amp;O 資料匯出風險：微軟 2026-11-30 停用防禦</w:t>
      </w:r>
    </w:p>
    <w:p>
      <w:pPr>
        <w:spacing w:before="0" w:after="200"/>
      </w:pPr>
      <w:r>
        <w:rPr>
          <w:rFonts w:ascii="Arial" w:hAnsi="Arial"/>
          <w:i/>
          <w:color w:val="78716C"/>
          <w:sz w:val="19"/>
        </w:rPr>
        <w:t>Critical Vulnerability · Deprecation of Export to Data Lake (BYOD) Defense</w:t>
      </w:r>
    </w:p>
    <w:p>
      <w:pPr>
        <w:spacing w:before="0" w:after="120" w:line="276" w:lineRule="auto"/>
      </w:pPr>
      <w:r>
        <w:rPr>
          <w:rFonts w:ascii="Arial" w:hAnsi="Arial"/>
          <w:color w:val="1C1917"/>
          <w:sz w:val="19"/>
        </w:rPr>
        <w:t>在架構體檢過程中，顧問團隊主動為信源排查出一項極度致命的營運風險：微軟原廠已正式發布生命週期終止公告，既有的 **Export to Data Lake (BYOD / Data Lake Add-in)** 功能，已於 **2026 年 11 月 30 日永久停止服務**！若企業未提早因應，資料同步管線將在無預警下直接中斷。</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整合路徑機制</w:t>
            </w:r>
          </w:p>
        </w:tc>
        <w:tc>
          <w:tcPr>
            <w:tcW w:type="dxa" w:w="3168"/>
            <w:shd w:fill="F5EFEB"/>
            <w:tcMar>
              <w:top w:w="80" w:type="dxa"/>
              <w:bottom w:w="80" w:type="dxa"/>
              <w:left w:w="100" w:type="dxa"/>
              <w:right w:w="100" w:type="dxa"/>
            </w:tcMar>
          </w:tcPr>
          <w:p>
            <w:r>
              <w:rPr>
                <w:rFonts w:ascii="Arial" w:hAnsi="Arial"/>
                <w:b/>
                <w:color w:val="A83212"/>
                <w:sz w:val="17"/>
              </w:rPr>
              <w:t>技術架構與傳輸協定</w:t>
            </w:r>
          </w:p>
        </w:tc>
        <w:tc>
          <w:tcPr>
            <w:tcW w:type="dxa" w:w="2592"/>
            <w:shd w:fill="F5EFEB"/>
            <w:tcMar>
              <w:top w:w="80" w:type="dxa"/>
              <w:bottom w:w="80" w:type="dxa"/>
              <w:left w:w="100" w:type="dxa"/>
              <w:right w:w="100" w:type="dxa"/>
            </w:tcMar>
          </w:tcPr>
          <w:p>
            <w:r>
              <w:rPr>
                <w:rFonts w:ascii="Arial" w:hAnsi="Arial"/>
                <w:b/>
                <w:color w:val="A83212"/>
                <w:sz w:val="17"/>
              </w:rPr>
              <w:t>原廠支援狀態與風險等級</w:t>
            </w:r>
          </w:p>
        </w:tc>
        <w:tc>
          <w:tcPr>
            <w:tcW w:type="dxa" w:w="2016"/>
            <w:shd w:fill="F5EFEB"/>
            <w:tcMar>
              <w:top w:w="80" w:type="dxa"/>
              <w:bottom w:w="80" w:type="dxa"/>
              <w:left w:w="100" w:type="dxa"/>
              <w:right w:w="100" w:type="dxa"/>
            </w:tcMar>
          </w:tcPr>
          <w:p>
            <w:r>
              <w:rPr>
                <w:rFonts w:ascii="Arial" w:hAnsi="Arial"/>
                <w:b/>
                <w:color w:val="A83212"/>
                <w:sz w:val="17"/>
              </w:rPr>
              <w:t>蜂巢計畫之實施對策</w:t>
            </w:r>
          </w:p>
        </w:tc>
      </w:tr>
      <w:tr>
        <w:tc>
          <w:tcPr>
            <w:tcW w:type="dxa" w:w="2592"/>
            <w:shd w:fill="FFFFFF"/>
            <w:tcMar>
              <w:top w:w="60" w:type="dxa"/>
              <w:bottom w:w="60" w:type="dxa"/>
              <w:left w:w="100" w:type="dxa"/>
              <w:right w:w="100" w:type="dxa"/>
            </w:tcMar>
          </w:tcPr>
          <w:p>
            <w:r>
              <w:rPr>
                <w:rFonts w:ascii="Arial" w:hAnsi="Arial"/>
                <w:color w:val="1C1917"/>
                <w:sz w:val="16"/>
              </w:rPr>
              <w:t>傳統舊版機制</w:t>
              <w:br/>
              <w:t>(Export to Data Lake)</w:t>
            </w:r>
          </w:p>
        </w:tc>
        <w:tc>
          <w:tcPr>
            <w:tcW w:type="dxa" w:w="3168"/>
            <w:shd w:fill="FFFFFF"/>
            <w:tcMar>
              <w:top w:w="60" w:type="dxa"/>
              <w:bottom w:w="60" w:type="dxa"/>
              <w:left w:w="100" w:type="dxa"/>
              <w:right w:w="100" w:type="dxa"/>
            </w:tcMar>
          </w:tcPr>
          <w:p>
            <w:r>
              <w:rPr>
                <w:rFonts w:ascii="Arial" w:hAnsi="Arial"/>
                <w:color w:val="1C1917"/>
                <w:sz w:val="16"/>
              </w:rPr>
              <w:t>透過 Azure 儲存帳號同步</w:t>
              <w:br/>
              <w:t>依賴舊版 Data Factory v1</w:t>
            </w:r>
          </w:p>
        </w:tc>
        <w:tc>
          <w:tcPr>
            <w:tcW w:type="dxa" w:w="2592"/>
            <w:shd w:fill="FFFFFF"/>
            <w:tcMar>
              <w:top w:w="60" w:type="dxa"/>
              <w:bottom w:w="60" w:type="dxa"/>
              <w:left w:w="100" w:type="dxa"/>
              <w:right w:w="100" w:type="dxa"/>
            </w:tcMar>
          </w:tcPr>
          <w:p>
            <w:r>
              <w:rPr>
                <w:rFonts w:ascii="Arial" w:hAnsi="Arial"/>
                <w:color w:val="1C1917"/>
                <w:sz w:val="16"/>
              </w:rPr>
              <w:t>★ 已於 2026-11-30 永久停用</w:t>
              <w:br/>
              <w:t>【極高風險 · 阻斷營運】</w:t>
            </w:r>
          </w:p>
        </w:tc>
        <w:tc>
          <w:tcPr>
            <w:tcW w:type="dxa" w:w="2016"/>
            <w:shd w:fill="FFFFFF"/>
            <w:tcMar>
              <w:top w:w="60" w:type="dxa"/>
              <w:bottom w:w="60" w:type="dxa"/>
              <w:left w:w="100" w:type="dxa"/>
              <w:right w:w="100" w:type="dxa"/>
            </w:tcMar>
          </w:tcPr>
          <w:p>
            <w:r>
              <w:rPr>
                <w:rFonts w:ascii="Arial" w:hAnsi="Arial"/>
                <w:color w:val="1C1917"/>
                <w:sz w:val="16"/>
              </w:rPr>
              <w:t>立即全面清查集團內是否有排程依賴此機制，列為第一階段首波阻斷防禦項目。</w:t>
            </w:r>
          </w:p>
        </w:tc>
      </w:tr>
      <w:tr>
        <w:tc>
          <w:tcPr>
            <w:tcW w:type="dxa" w:w="2592"/>
            <w:shd w:fill="FAFAF9"/>
            <w:tcMar>
              <w:top w:w="60" w:type="dxa"/>
              <w:bottom w:w="60" w:type="dxa"/>
              <w:left w:w="100" w:type="dxa"/>
              <w:right w:w="100" w:type="dxa"/>
            </w:tcMar>
          </w:tcPr>
          <w:p>
            <w:r>
              <w:rPr>
                <w:rFonts w:ascii="Arial" w:hAnsi="Arial"/>
                <w:color w:val="1C1917"/>
                <w:sz w:val="16"/>
              </w:rPr>
              <w:t>微軟推薦官方路徑</w:t>
              <w:br/>
              <w:t>(Azure Synapse Link)</w:t>
            </w:r>
          </w:p>
        </w:tc>
        <w:tc>
          <w:tcPr>
            <w:tcW w:type="dxa" w:w="3168"/>
            <w:shd w:fill="FAFAF9"/>
            <w:tcMar>
              <w:top w:w="60" w:type="dxa"/>
              <w:bottom w:w="60" w:type="dxa"/>
              <w:left w:w="100" w:type="dxa"/>
              <w:right w:w="100" w:type="dxa"/>
            </w:tcMar>
          </w:tcPr>
          <w:p>
            <w:r>
              <w:rPr>
                <w:rFonts w:ascii="Arial" w:hAnsi="Arial"/>
                <w:color w:val="1C1917"/>
                <w:sz w:val="16"/>
              </w:rPr>
              <w:t>原生深度整合 Dataverse</w:t>
              <w:br/>
              <w:t>近即時串流輸出 Parquet</w:t>
            </w:r>
          </w:p>
        </w:tc>
        <w:tc>
          <w:tcPr>
            <w:tcW w:type="dxa" w:w="2592"/>
            <w:shd w:fill="FAFAF9"/>
            <w:tcMar>
              <w:top w:w="60" w:type="dxa"/>
              <w:bottom w:w="60" w:type="dxa"/>
              <w:left w:w="100" w:type="dxa"/>
              <w:right w:w="100" w:type="dxa"/>
            </w:tcMar>
          </w:tcPr>
          <w:p>
            <w:r>
              <w:rPr>
                <w:rFonts w:ascii="Arial" w:hAnsi="Arial"/>
                <w:color w:val="1C1917"/>
                <w:sz w:val="16"/>
              </w:rPr>
              <w:t>官方主流推薦標準</w:t>
              <w:br/>
              <w:t>【高可用 · 零衝擊】</w:t>
            </w:r>
          </w:p>
        </w:tc>
        <w:tc>
          <w:tcPr>
            <w:tcW w:type="dxa" w:w="2016"/>
            <w:shd w:fill="FAFAF9"/>
            <w:tcMar>
              <w:top w:w="60" w:type="dxa"/>
              <w:bottom w:w="60" w:type="dxa"/>
              <w:left w:w="100" w:type="dxa"/>
              <w:right w:w="100" w:type="dxa"/>
            </w:tcMar>
          </w:tcPr>
          <w:p>
            <w:r>
              <w:rPr>
                <w:rFonts w:ascii="Arial" w:hAnsi="Arial"/>
                <w:color w:val="1C1917"/>
                <w:sz w:val="16"/>
              </w:rPr>
              <w:t>第一階段完成 PoC 驗證，排定於 2027 Q1 正式切換至 Synapse Link for F&amp;O。</w:t>
            </w:r>
          </w:p>
        </w:tc>
      </w:tr>
      <w:tr>
        <w:tc>
          <w:tcPr>
            <w:tcW w:type="dxa" w:w="2592"/>
            <w:shd w:fill="FFFFFF"/>
            <w:tcMar>
              <w:top w:w="60" w:type="dxa"/>
              <w:bottom w:w="60" w:type="dxa"/>
              <w:left w:w="100" w:type="dxa"/>
              <w:right w:w="100" w:type="dxa"/>
            </w:tcMar>
          </w:tcPr>
          <w:p>
            <w:r>
              <w:rPr>
                <w:rFonts w:ascii="Arial" w:hAnsi="Arial"/>
                <w:color w:val="1C1917"/>
                <w:sz w:val="16"/>
              </w:rPr>
              <w:t>新世代旗艦路徑</w:t>
              <w:br/>
              <w:t>(Link to Fabric / OneLake)</w:t>
            </w:r>
          </w:p>
        </w:tc>
        <w:tc>
          <w:tcPr>
            <w:tcW w:type="dxa" w:w="3168"/>
            <w:shd w:fill="FFFFFF"/>
            <w:tcMar>
              <w:top w:w="60" w:type="dxa"/>
              <w:bottom w:w="60" w:type="dxa"/>
              <w:left w:w="100" w:type="dxa"/>
              <w:right w:w="100" w:type="dxa"/>
            </w:tcMar>
          </w:tcPr>
          <w:p>
            <w:r>
              <w:rPr>
                <w:rFonts w:ascii="Arial" w:hAnsi="Arial"/>
                <w:color w:val="1C1917"/>
                <w:sz w:val="16"/>
              </w:rPr>
              <w:t>直接鏡像至 OneLake</w:t>
              <w:br/>
              <w:t>免複製零 ETL (Delta Lake)</w:t>
            </w:r>
          </w:p>
        </w:tc>
        <w:tc>
          <w:tcPr>
            <w:tcW w:type="dxa" w:w="2592"/>
            <w:shd w:fill="FFFFFF"/>
            <w:tcMar>
              <w:top w:w="60" w:type="dxa"/>
              <w:bottom w:w="60" w:type="dxa"/>
              <w:left w:w="100" w:type="dxa"/>
              <w:right w:w="100" w:type="dxa"/>
            </w:tcMar>
          </w:tcPr>
          <w:p>
            <w:r>
              <w:rPr>
                <w:rFonts w:ascii="Arial" w:hAnsi="Arial"/>
                <w:color w:val="1C1917"/>
                <w:sz w:val="16"/>
              </w:rPr>
              <w:t>微軟 2026-2027 戰略主力</w:t>
              <w:br/>
              <w:t>【變革性 · 長期首選】</w:t>
            </w:r>
          </w:p>
        </w:tc>
        <w:tc>
          <w:tcPr>
            <w:tcW w:type="dxa" w:w="2016"/>
            <w:shd w:fill="FFFFFF"/>
            <w:tcMar>
              <w:top w:w="60" w:type="dxa"/>
              <w:bottom w:w="60" w:type="dxa"/>
              <w:left w:w="100" w:type="dxa"/>
              <w:right w:w="100" w:type="dxa"/>
            </w:tcMar>
          </w:tcPr>
          <w:p>
            <w:r>
              <w:rPr>
                <w:rFonts w:ascii="Arial" w:hAnsi="Arial"/>
                <w:color w:val="1C1917"/>
                <w:sz w:val="16"/>
              </w:rPr>
              <w:t>第二階段評估將分析資料層無縫對接 Fabric，實現跨雲端零搬遷查詢。</w:t>
            </w:r>
          </w:p>
        </w:tc>
      </w:tr>
    </w:tbl>
    <w:p>
      <w:pPr>
        <w:spacing w:after="80"/>
      </w:pPr>
    </w:p>
    <w:p>
      <w:r>
        <w:br w:type="page"/>
      </w:r>
    </w:p>
    <w:p>
      <w:pPr>
        <w:spacing w:before="160" w:after="80"/>
      </w:pPr>
      <w:r>
        <w:rPr>
          <w:rFonts w:ascii="Arial" w:hAnsi="Arial"/>
          <w:b/>
          <w:color w:val="D97706"/>
          <w:sz w:val="22"/>
        </w:rPr>
        <w:t xml:space="preserve">【第二章：系統體檢】 </w:t>
      </w:r>
      <w:r>
        <w:rPr>
          <w:rFonts w:ascii="Arial" w:hAnsi="Arial"/>
          <w:b/>
          <w:color w:val="A83212"/>
          <w:sz w:val="30"/>
        </w:rPr>
        <w:t>2.5 傳統打樣系統：RD Sample 之維護人才斷層剖析</w:t>
      </w:r>
    </w:p>
    <w:p>
      <w:pPr>
        <w:spacing w:before="0" w:after="200"/>
      </w:pPr>
      <w:r>
        <w:rPr>
          <w:rFonts w:ascii="Arial" w:hAnsi="Arial"/>
          <w:i/>
          <w:color w:val="78716C"/>
          <w:sz w:val="19"/>
        </w:rPr>
        <w:t>Legacy Technical Debt · RD Sample (.NET 4.8 &amp; Knockout.js) Risk Profile</w:t>
      </w:r>
    </w:p>
    <w:p>
      <w:pPr>
        <w:spacing w:before="0" w:after="120" w:line="276" w:lineRule="auto"/>
      </w:pPr>
      <w:r>
        <w:rPr>
          <w:rFonts w:ascii="Arial" w:hAnsi="Arial"/>
          <w:color w:val="1C1917"/>
          <w:sz w:val="19"/>
        </w:rPr>
        <w:t>成衣打樣研發系統（RD Sample）是業務接單到工廠量產前的關鍵樞紐。體檢發現，該系統建構於 10 年前的 **.NET Framework 4.8 ＋ Knockout.js** 架構。Knockout.js 是 2010 年代初期的 MVVM 雙向綁定框架，微軟官方早在 2015 年後便停止推廣，全球開源社群如今已幾無維護更新。</w:t>
      </w:r>
    </w:p>
    <w:p>
      <w:pPr>
        <w:spacing w:before="0" w:after="120" w:line="276" w:lineRule="auto"/>
      </w:pPr>
      <w:r>
        <w:rPr>
          <w:rFonts w:ascii="Arial" w:hAnsi="Arial"/>
          <w:color w:val="1C1917"/>
          <w:sz w:val="19"/>
        </w:rPr>
        <w:t>這引發了嚴峻的『人才斷層與系統死穴（Bus Factor = 1）』：當前市場上年輕軟體工程師皆受 Vue、React 與 TypeScript 培訓，無人具備 Knockout.js 的實戰除錯經驗；一旦當初撰寫 RD Sample 的資深同仁異動，整個打樣系統將陷入無人敢動、無人能改的黑盒子癱瘓危機。此外，.NET 4.8 強綁 Windows Server，無法進行輕量 Docker 容器化部署。</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【技術債治理策略】</w:t>
              <w:br/>
            </w:r>
            <w:r>
              <w:rPr>
                <w:rFonts w:ascii="Arial" w:hAnsi="Arial"/>
                <w:color w:val="1C1917"/>
                <w:sz w:val="18"/>
              </w:rPr>
              <w:t>對策方針：第一階段嚴禁對 RD Sample 進行破壞性大規模重構；維持其穩定運作，並規劃於第二階段『藉助 AI Coding 輔助工具，將 Knockout.js 語法自動轉譯為 Vue 3』，以最小成本平滑消滅技術債。</w:t>
            </w:r>
          </w:p>
        </w:tc>
      </w:tr>
    </w:tbl>
    <w:p>
      <w:pPr>
        <w:spacing w:after="80"/>
      </w:pPr>
    </w:p>
    <w:p>
      <w:r>
        <w:br w:type="page"/>
      </w:r>
    </w:p>
    <w:p>
      <w:pPr>
        <w:spacing w:before="160" w:after="80"/>
      </w:pPr>
      <w:r>
        <w:rPr>
          <w:rFonts w:ascii="Arial" w:hAnsi="Arial"/>
          <w:b/>
          <w:color w:val="D97706"/>
          <w:sz w:val="22"/>
        </w:rPr>
        <w:t xml:space="preserve">【第二章：系統體檢】 </w:t>
      </w:r>
      <w:r>
        <w:rPr>
          <w:rFonts w:ascii="Arial" w:hAnsi="Arial"/>
          <w:b/>
          <w:color w:val="A83212"/>
          <w:sz w:val="30"/>
        </w:rPr>
        <w:t>2.6 D365 外掛模組介接隱患與相依性排查</w:t>
      </w:r>
    </w:p>
    <w:p>
      <w:pPr>
        <w:spacing w:before="0" w:after="200"/>
      </w:pPr>
      <w:r>
        <w:rPr>
          <w:rFonts w:ascii="Arial" w:hAnsi="Arial"/>
          <w:i/>
          <w:color w:val="78716C"/>
          <w:sz w:val="19"/>
        </w:rPr>
        <w:t>Add-in Fragility · D365 Extensions (.NET 4.8 &amp; Web API 5.2) Audit</w:t>
      </w:r>
    </w:p>
    <w:p>
      <w:pPr>
        <w:spacing w:before="0" w:after="120" w:line="276" w:lineRule="auto"/>
      </w:pPr>
      <w:r>
        <w:rPr>
          <w:rFonts w:ascii="Arial" w:hAnsi="Arial"/>
          <w:color w:val="1C1917"/>
          <w:sz w:val="19"/>
        </w:rPr>
        <w:t>為彌補 D365 原生功能對成衣特殊做工支援之不足，內部團隊過去開發了多套『D365 外掛模組』。這些外掛同樣採用傳統 **.NET Framework 4.8 搭配 ASP.NET Web API 5.2 與經典 MVC** 架構，運行於地端 IIS 伺服器，透過 OData 與客製 API 與雲端 D365 連線。</w:t>
      </w:r>
    </w:p>
    <w:p>
      <w:pPr>
        <w:spacing w:before="0" w:after="120" w:line="276" w:lineRule="auto"/>
      </w:pPr>
      <w:r>
        <w:rPr>
          <w:rFonts w:ascii="Arial" w:hAnsi="Arial"/>
          <w:color w:val="1C1917"/>
          <w:sz w:val="19"/>
        </w:rPr>
        <w:t>技術體檢發現以下三大架構隱患：</w:t>
      </w:r>
    </w:p>
    <w:p>
      <w:pPr>
        <w:pStyle w:val="ListBullet"/>
        <w:spacing w:before="0" w:after="60" w:line="269" w:lineRule="auto"/>
      </w:pPr>
      <w:r>
        <w:rPr>
          <w:rFonts w:ascii="Arial" w:hAnsi="Arial"/>
          <w:b/>
          <w:color w:val="1C1917"/>
          <w:sz w:val="18"/>
        </w:rPr>
        <w:t>1. 缺乏測試防護網：</w:t>
      </w:r>
      <w:r>
        <w:rPr>
          <w:rFonts w:ascii="Arial" w:hAnsi="Arial"/>
          <w:color w:val="1C1917"/>
          <w:sz w:val="18"/>
        </w:rPr>
        <w:t>ASP.NET Web API 5.2 是 2014 年發布的舊技術，代碼內部大量使用靜態 `HttpContext.Current` 與 `ConfigurationManager`，導致系統無法進行單元測試（Unit Test）與 Mock 模擬，每次改版只能靠人工點擊測試，改 A 壞 B 頻傳。</w:t>
      </w:r>
    </w:p>
    <w:p>
      <w:pPr>
        <w:pStyle w:val="ListBullet"/>
        <w:spacing w:before="0" w:after="60" w:line="269" w:lineRule="auto"/>
      </w:pPr>
      <w:r>
        <w:rPr>
          <w:rFonts w:ascii="Arial" w:hAnsi="Arial"/>
          <w:b/>
          <w:color w:val="1C1917"/>
          <w:sz w:val="18"/>
        </w:rPr>
        <w:t>2. 雲端更新脫節風險：</w:t>
      </w:r>
      <w:r>
        <w:rPr>
          <w:rFonts w:ascii="Arial" w:hAnsi="Arial"/>
          <w:color w:val="1C1917"/>
          <w:sz w:val="18"/>
        </w:rPr>
        <w:t>微軟 D365 雲端實施『One Version』每月強制持續更新政策。地端外掛若採用舊版 SOAP 或未設逾時保護的同步阻塞呼叫（Sync Blocking Calls），極易在微軟雲端維護時集體崩潰。</w:t>
      </w:r>
    </w:p>
    <w:p>
      <w:pPr>
        <w:pStyle w:val="ListBullet"/>
        <w:spacing w:before="0" w:after="60" w:line="269" w:lineRule="auto"/>
      </w:pPr>
      <w:r>
        <w:rPr>
          <w:rFonts w:ascii="Arial" w:hAnsi="Arial"/>
          <w:b/>
          <w:color w:val="1C1917"/>
          <w:sz w:val="18"/>
        </w:rPr>
        <w:t>3. 效能與資源洩漏：</w:t>
      </w:r>
      <w:r>
        <w:rPr>
          <w:rFonts w:ascii="Arial" w:hAnsi="Arial"/>
          <w:color w:val="1C1917"/>
          <w:sz w:val="18"/>
        </w:rPr>
        <w:t>缺乏統一的連線集區（Connection Pool）管理，高並發時容易耗盡資料庫連線，引發 IIS 應用程式集區（AppPool）頻繁回收當機。</w:t>
      </w:r>
    </w:p>
    <w:p>
      <w:r>
        <w:br w:type="page"/>
      </w:r>
    </w:p>
    <w:p>
      <w:pPr>
        <w:spacing w:before="160" w:after="80"/>
      </w:pPr>
      <w:r>
        <w:rPr>
          <w:rFonts w:ascii="Arial" w:hAnsi="Arial"/>
          <w:b/>
          <w:color w:val="D97706"/>
          <w:sz w:val="22"/>
        </w:rPr>
        <w:t xml:space="preserve">【第二章：系統體檢】 </w:t>
      </w:r>
      <w:r>
        <w:rPr>
          <w:rFonts w:ascii="Arial" w:hAnsi="Arial"/>
          <w:b/>
          <w:color w:val="A83212"/>
          <w:sz w:val="30"/>
        </w:rPr>
        <w:t>2.7 現代示範燈塔：CQS 系統架構深度解析</w:t>
      </w:r>
    </w:p>
    <w:p>
      <w:pPr>
        <w:spacing w:before="0" w:after="200"/>
      </w:pPr>
      <w:r>
        <w:rPr>
          <w:rFonts w:ascii="Arial" w:hAnsi="Arial"/>
          <w:i/>
          <w:color w:val="78716C"/>
          <w:sz w:val="19"/>
        </w:rPr>
        <w:t>Lighthouse Benchmark · Clothing Quality System (CQS) Modern Architecture</w:t>
      </w:r>
    </w:p>
    <w:p>
      <w:pPr>
        <w:spacing w:before="0" w:after="120" w:line="276" w:lineRule="auto"/>
      </w:pPr>
      <w:r>
        <w:rPr>
          <w:rFonts w:ascii="Arial" w:hAnsi="Arial"/>
          <w:color w:val="1C1917"/>
          <w:sz w:val="19"/>
        </w:rPr>
        <w:t>在令人擔憂的傳統技術債中，顧問團隊驚喜地發現了一座極具現代化水準的『示範燈塔』——**成衣品質與剪裁檢驗系統（CQS, Clothing Quality System）**。該系統完全採用全球微軟生態最新的一線技術棧：**.NET Core 8.0 跨平台後端 ＋ Vue 3 前端 ＋ TypeScript 強型別語言**！</w:t>
      </w:r>
    </w:p>
    <w:tbl>
      <w:tblPr>
        <w:tblW w:type="auto" w:w="0"/>
        <w:jc w:val="center"/>
        <w:tblLook w:firstColumn="1" w:firstRow="1" w:lastColumn="0" w:lastRow="0" w:noHBand="0" w:noVBand="1" w:val="04A0"/>
      </w:tblPr>
      <w:tblGrid>
        <w:gridCol w:w="3216"/>
        <w:gridCol w:w="3216"/>
        <w:gridCol w:w="3216"/>
      </w:tblGrid>
      <w:tr>
        <w:tc>
          <w:tcPr>
            <w:tcW w:type="dxa" w:w="2592"/>
            <w:shd w:fill="F5EFEB"/>
            <w:tcMar>
              <w:top w:w="80" w:type="dxa"/>
              <w:bottom w:w="80" w:type="dxa"/>
              <w:left w:w="100" w:type="dxa"/>
              <w:right w:w="100" w:type="dxa"/>
            </w:tcMar>
          </w:tcPr>
          <w:p>
            <w:r>
              <w:rPr>
                <w:rFonts w:ascii="Arial" w:hAnsi="Arial"/>
                <w:b/>
                <w:color w:val="A83212"/>
                <w:sz w:val="17"/>
              </w:rPr>
              <w:t>架構維度</w:t>
            </w:r>
          </w:p>
        </w:tc>
        <w:tc>
          <w:tcPr>
            <w:tcW w:type="dxa" w:w="3744"/>
            <w:shd w:fill="F5EFEB"/>
            <w:tcMar>
              <w:top w:w="80" w:type="dxa"/>
              <w:bottom w:w="80" w:type="dxa"/>
              <w:left w:w="100" w:type="dxa"/>
              <w:right w:w="100" w:type="dxa"/>
            </w:tcMar>
          </w:tcPr>
          <w:p>
            <w:r>
              <w:rPr>
                <w:rFonts w:ascii="Arial" w:hAnsi="Arial"/>
                <w:b/>
                <w:color w:val="A83212"/>
                <w:sz w:val="17"/>
              </w:rPr>
              <w:t>CQS 現代技術實踐</w:t>
            </w:r>
          </w:p>
        </w:tc>
        <w:tc>
          <w:tcPr>
            <w:tcW w:type="dxa" w:w="4032"/>
            <w:shd w:fill="F5EFEB"/>
            <w:tcMar>
              <w:top w:w="80" w:type="dxa"/>
              <w:bottom w:w="80" w:type="dxa"/>
              <w:left w:w="100" w:type="dxa"/>
              <w:right w:w="100" w:type="dxa"/>
            </w:tcMar>
          </w:tcPr>
          <w:p>
            <w:r>
              <w:rPr>
                <w:rFonts w:ascii="Arial" w:hAnsi="Arial"/>
                <w:b/>
                <w:color w:val="A83212"/>
                <w:sz w:val="17"/>
              </w:rPr>
              <w:t>對信源全集團之示範價值與效益</w:t>
            </w:r>
          </w:p>
        </w:tc>
      </w:tr>
      <w:tr>
        <w:tc>
          <w:tcPr>
            <w:tcW w:type="dxa" w:w="2592"/>
            <w:shd w:fill="FFFFFF"/>
            <w:tcMar>
              <w:top w:w="60" w:type="dxa"/>
              <w:bottom w:w="60" w:type="dxa"/>
              <w:left w:w="100" w:type="dxa"/>
              <w:right w:w="100" w:type="dxa"/>
            </w:tcMar>
          </w:tcPr>
          <w:p>
            <w:r>
              <w:rPr>
                <w:rFonts w:ascii="Arial" w:hAnsi="Arial"/>
                <w:color w:val="1C1917"/>
                <w:sz w:val="16"/>
              </w:rPr>
              <w:t>後端運行環境</w:t>
            </w:r>
          </w:p>
        </w:tc>
        <w:tc>
          <w:tcPr>
            <w:tcW w:type="dxa" w:w="3744"/>
            <w:shd w:fill="FFFFFF"/>
            <w:tcMar>
              <w:top w:w="60" w:type="dxa"/>
              <w:bottom w:w="60" w:type="dxa"/>
              <w:left w:w="100" w:type="dxa"/>
              <w:right w:w="100" w:type="dxa"/>
            </w:tcMar>
          </w:tcPr>
          <w:p>
            <w:r>
              <w:rPr>
                <w:rFonts w:ascii="Arial" w:hAnsi="Arial"/>
                <w:color w:val="1C1917"/>
                <w:sz w:val="16"/>
              </w:rPr>
              <w:t>.NET Core 8.0 跨平台 Runtime</w:t>
              <w:br/>
              <w:t>原生支援 Linux 容器 (Docker)</w:t>
            </w:r>
          </w:p>
        </w:tc>
        <w:tc>
          <w:tcPr>
            <w:tcW w:type="dxa" w:w="4032"/>
            <w:shd w:fill="FFFFFF"/>
            <w:tcMar>
              <w:top w:w="60" w:type="dxa"/>
              <w:bottom w:w="60" w:type="dxa"/>
              <w:left w:w="100" w:type="dxa"/>
              <w:right w:w="100" w:type="dxa"/>
            </w:tcMar>
          </w:tcPr>
          <w:p>
            <w:r>
              <w:rPr>
                <w:rFonts w:ascii="Arial" w:hAnsi="Arial"/>
                <w:color w:val="1C1917"/>
                <w:sz w:val="16"/>
              </w:rPr>
              <w:t>效能較傳統 .NET 4.8 提升 3~5 倍，記憶體佔用降低 60%，可無縫移植至華碩 GX10 邊緣工控機。</w:t>
            </w:r>
          </w:p>
        </w:tc>
      </w:tr>
      <w:tr>
        <w:tc>
          <w:tcPr>
            <w:tcW w:type="dxa" w:w="2592"/>
            <w:shd w:fill="FAFAF9"/>
            <w:tcMar>
              <w:top w:w="60" w:type="dxa"/>
              <w:bottom w:w="60" w:type="dxa"/>
              <w:left w:w="100" w:type="dxa"/>
              <w:right w:w="100" w:type="dxa"/>
            </w:tcMar>
          </w:tcPr>
          <w:p>
            <w:r>
              <w:rPr>
                <w:rFonts w:ascii="Arial" w:hAnsi="Arial"/>
                <w:color w:val="1C1917"/>
                <w:sz w:val="16"/>
              </w:rPr>
              <w:t>架構分層標準</w:t>
            </w:r>
          </w:p>
        </w:tc>
        <w:tc>
          <w:tcPr>
            <w:tcW w:type="dxa" w:w="3744"/>
            <w:shd w:fill="FAFAF9"/>
            <w:tcMar>
              <w:top w:w="60" w:type="dxa"/>
              <w:bottom w:w="60" w:type="dxa"/>
              <w:left w:w="100" w:type="dxa"/>
              <w:right w:w="100" w:type="dxa"/>
            </w:tcMar>
          </w:tcPr>
          <w:p>
            <w:r>
              <w:rPr>
                <w:rFonts w:ascii="Arial" w:hAnsi="Arial"/>
                <w:color w:val="1C1917"/>
                <w:sz w:val="16"/>
              </w:rPr>
              <w:t>嚴格落實 Controller -&gt; Service -&gt;</w:t>
              <w:br/>
              <w:t>Repository 分層，職責分離 (SoC)</w:t>
            </w:r>
          </w:p>
        </w:tc>
        <w:tc>
          <w:tcPr>
            <w:tcW w:type="dxa" w:w="4032"/>
            <w:shd w:fill="FAFAF9"/>
            <w:tcMar>
              <w:top w:w="60" w:type="dxa"/>
              <w:bottom w:w="60" w:type="dxa"/>
              <w:left w:w="100" w:type="dxa"/>
              <w:right w:w="100" w:type="dxa"/>
            </w:tcMar>
          </w:tcPr>
          <w:p>
            <w:r>
              <w:rPr>
                <w:rFonts w:ascii="Arial" w:hAnsi="Arial"/>
                <w:color w:val="1C1917"/>
                <w:sz w:val="16"/>
              </w:rPr>
              <w:t>Controller 不寫 SQL、Service 專注成衣檢驗業務、Repository 統一資料庫交易，代碼極度乾淨。</w:t>
            </w:r>
          </w:p>
        </w:tc>
      </w:tr>
      <w:tr>
        <w:tc>
          <w:tcPr>
            <w:tcW w:type="dxa" w:w="2592"/>
            <w:shd w:fill="FFFFFF"/>
            <w:tcMar>
              <w:top w:w="60" w:type="dxa"/>
              <w:bottom w:w="60" w:type="dxa"/>
              <w:left w:w="100" w:type="dxa"/>
              <w:right w:w="100" w:type="dxa"/>
            </w:tcMar>
          </w:tcPr>
          <w:p>
            <w:r>
              <w:rPr>
                <w:rFonts w:ascii="Arial" w:hAnsi="Arial"/>
                <w:color w:val="1C1917"/>
                <w:sz w:val="16"/>
              </w:rPr>
              <w:t>前端工程規範</w:t>
            </w:r>
          </w:p>
        </w:tc>
        <w:tc>
          <w:tcPr>
            <w:tcW w:type="dxa" w:w="3744"/>
            <w:shd w:fill="FFFFFF"/>
            <w:tcMar>
              <w:top w:w="60" w:type="dxa"/>
              <w:bottom w:w="60" w:type="dxa"/>
              <w:left w:w="100" w:type="dxa"/>
              <w:right w:w="100" w:type="dxa"/>
            </w:tcMar>
          </w:tcPr>
          <w:p>
            <w:r>
              <w:rPr>
                <w:rFonts w:ascii="Arial" w:hAnsi="Arial"/>
                <w:color w:val="1C1917"/>
                <w:sz w:val="16"/>
              </w:rPr>
              <w:t>Vue 3 Composition API</w:t>
              <w:br/>
              <w:t>搭配 TypeScript 型別保護</w:t>
            </w:r>
          </w:p>
        </w:tc>
        <w:tc>
          <w:tcPr>
            <w:tcW w:type="dxa" w:w="4032"/>
            <w:shd w:fill="FFFFFF"/>
            <w:tcMar>
              <w:top w:w="60" w:type="dxa"/>
              <w:bottom w:w="60" w:type="dxa"/>
              <w:left w:w="100" w:type="dxa"/>
              <w:right w:w="100" w:type="dxa"/>
            </w:tcMar>
          </w:tcPr>
          <w:p>
            <w:r>
              <w:rPr>
                <w:rFonts w:ascii="Arial" w:hAnsi="Arial"/>
                <w:color w:val="1C1917"/>
                <w:sz w:val="16"/>
              </w:rPr>
              <w:t>徹底杜絕 JavaScript 弱型別造成的未定義變數崩潰，介面組件模組化，開發效率極高。</w:t>
            </w:r>
          </w:p>
        </w:tc>
      </w:tr>
      <w:tr>
        <w:tc>
          <w:tcPr>
            <w:tcW w:type="dxa" w:w="2592"/>
            <w:shd w:fill="FAFAF9"/>
            <w:tcMar>
              <w:top w:w="60" w:type="dxa"/>
              <w:bottom w:w="60" w:type="dxa"/>
              <w:left w:w="100" w:type="dxa"/>
              <w:right w:w="100" w:type="dxa"/>
            </w:tcMar>
          </w:tcPr>
          <w:p>
            <w:r>
              <w:rPr>
                <w:rFonts w:ascii="Arial" w:hAnsi="Arial"/>
                <w:color w:val="1C1917"/>
                <w:sz w:val="16"/>
              </w:rPr>
              <w:t>AI 導入契合度</w:t>
            </w:r>
          </w:p>
        </w:tc>
        <w:tc>
          <w:tcPr>
            <w:tcW w:type="dxa" w:w="3744"/>
            <w:shd w:fill="FAFAF9"/>
            <w:tcMar>
              <w:top w:w="60" w:type="dxa"/>
              <w:bottom w:w="60" w:type="dxa"/>
              <w:left w:w="100" w:type="dxa"/>
              <w:right w:w="100" w:type="dxa"/>
            </w:tcMar>
          </w:tcPr>
          <w:p>
            <w:r>
              <w:rPr>
                <w:rFonts w:ascii="Arial" w:hAnsi="Arial"/>
                <w:color w:val="1C1917"/>
                <w:sz w:val="16"/>
              </w:rPr>
              <w:t>標準 OpenAPI 3.0 / Swagger 規範</w:t>
              <w:br/>
              <w:t>完整的依賴注入 (DI) 機制</w:t>
            </w:r>
          </w:p>
        </w:tc>
        <w:tc>
          <w:tcPr>
            <w:tcW w:type="dxa" w:w="4032"/>
            <w:shd w:fill="FAFAF9"/>
            <w:tcMar>
              <w:top w:w="60" w:type="dxa"/>
              <w:bottom w:w="60" w:type="dxa"/>
              <w:left w:w="100" w:type="dxa"/>
              <w:right w:w="100" w:type="dxa"/>
            </w:tcMar>
          </w:tcPr>
          <w:p>
            <w:r>
              <w:rPr>
                <w:rFonts w:ascii="Arial" w:hAnsi="Arial"/>
                <w:color w:val="1C1917"/>
                <w:sz w:val="16"/>
              </w:rPr>
              <w:t>★ 評定為 2027 年推動『AI Coding 生命週期管理』與『生管 AI Agent』的最佳首波示範試行系統！</w:t>
            </w:r>
          </w:p>
        </w:tc>
      </w:tr>
    </w:tbl>
    <w:p>
      <w:pPr>
        <w:spacing w:after="80"/>
      </w:pPr>
    </w:p>
    <w:p>
      <w:r>
        <w:br w:type="page"/>
      </w:r>
    </w:p>
    <w:p>
      <w:pPr>
        <w:spacing w:before="160" w:after="80"/>
      </w:pPr>
      <w:r>
        <w:rPr>
          <w:rFonts w:ascii="Arial" w:hAnsi="Arial"/>
          <w:b/>
          <w:color w:val="D97706"/>
          <w:sz w:val="22"/>
        </w:rPr>
        <w:t xml:space="preserve">【第二章：系統體檢】 </w:t>
      </w:r>
      <w:r>
        <w:rPr>
          <w:rFonts w:ascii="Arial" w:hAnsi="Arial"/>
          <w:b/>
          <w:color w:val="A83212"/>
          <w:sz w:val="30"/>
        </w:rPr>
        <w:t>2.8 快遞物流系統混合架構痛點與驗證機制排查</w:t>
      </w:r>
    </w:p>
    <w:p>
      <w:pPr>
        <w:spacing w:before="0" w:after="200"/>
      </w:pPr>
      <w:r>
        <w:rPr>
          <w:rFonts w:ascii="Arial" w:hAnsi="Arial"/>
          <w:i/>
          <w:color w:val="78716C"/>
          <w:sz w:val="19"/>
        </w:rPr>
        <w:t>Logistics Hybrid Friction · Courier System (.NET 4.8 + Vue 3) Analysis</w:t>
      </w:r>
    </w:p>
    <w:p>
      <w:pPr>
        <w:spacing w:before="0" w:after="120" w:line="276" w:lineRule="auto"/>
      </w:pPr>
      <w:r>
        <w:rPr>
          <w:rFonts w:ascii="Arial" w:hAnsi="Arial"/>
          <w:color w:val="1C1917"/>
          <w:sz w:val="19"/>
        </w:rPr>
        <w:t>集團內部運行的『快遞物流系統』呈現出一種極為特殊的『新頭舊身』混合拼裝架構：前端已經現代化翻新為 **Vue 3**，但後端核心 API 依然停留在傳統 **.NET Framework 4.8**。這種新舊混搭在跨系統通訊時暴露出了顯著的摩擦阻力：</w:t>
      </w:r>
    </w:p>
    <w:p>
      <w:pPr>
        <w:pStyle w:val="ListBullet"/>
        <w:spacing w:before="0" w:after="60" w:line="269" w:lineRule="auto"/>
      </w:pPr>
      <w:r>
        <w:rPr>
          <w:rFonts w:ascii="Arial" w:hAnsi="Arial"/>
          <w:b/>
          <w:color w:val="1C1917"/>
          <w:sz w:val="18"/>
        </w:rPr>
        <w:t>身分鑑權混亂：</w:t>
      </w:r>
      <w:r>
        <w:rPr>
          <w:rFonts w:ascii="Arial" w:hAnsi="Arial"/>
          <w:color w:val="1C1917"/>
          <w:sz w:val="18"/>
        </w:rPr>
        <w:t>前端 Vue 3 採用現代無狀態 JWT Token 機制，但後端 .NET 4.8 仍相依於舊式 ASP.NET FormsAuthentication 與 Session Cookie，導致工程師在前端代碼中撰寫了大量繞過跨域安全（CORS）的臨時補丁（Workaround）。</w:t>
      </w:r>
    </w:p>
    <w:p>
      <w:pPr>
        <w:pStyle w:val="ListBullet"/>
        <w:spacing w:before="0" w:after="60" w:line="269" w:lineRule="auto"/>
      </w:pPr>
      <w:r>
        <w:rPr>
          <w:rFonts w:ascii="Arial" w:hAnsi="Arial"/>
          <w:b/>
          <w:color w:val="1C1917"/>
          <w:sz w:val="18"/>
        </w:rPr>
        <w:t>資料序列化缺陷：</w:t>
      </w:r>
      <w:r>
        <w:rPr>
          <w:rFonts w:ascii="Arial" w:hAnsi="Arial"/>
          <w:color w:val="1C1917"/>
          <w:sz w:val="18"/>
        </w:rPr>
        <w:t>後端依賴舊版 Newtonsoft.Json 序列化日期，輸出格式為微軟專屬之 `\/Date(1730000000000)\/`，前端 Vue 3 必須額外掛載解碼器轉譯為 ISO-8601，增加前端運算負擔並易引發跨國時區錯亂。</w:t>
      </w:r>
    </w:p>
    <w:p>
      <w:pPr>
        <w:pStyle w:val="ListBullet"/>
        <w:spacing w:before="0" w:after="60" w:line="269" w:lineRule="auto"/>
      </w:pPr>
      <w:r>
        <w:rPr>
          <w:rFonts w:ascii="Arial" w:hAnsi="Arial"/>
          <w:b/>
          <w:color w:val="1C1917"/>
          <w:sz w:val="18"/>
        </w:rPr>
        <w:t>翻新潛力極高：</w:t>
      </w:r>
      <w:r>
        <w:rPr>
          <w:rFonts w:ascii="Arial" w:hAnsi="Arial"/>
          <w:color w:val="1C1917"/>
          <w:sz w:val="18"/>
        </w:rPr>
        <w:t>雖然存在摩擦，但前端的 Vue 3 化證明團隊具備現代前端能力。後續僅需將後端 Web API 重構為 .NET 8 Minimal API，即可在 2 週內完成全系統現代化。</w:t>
      </w:r>
    </w:p>
    <w:p>
      <w:r>
        <w:br w:type="page"/>
      </w:r>
    </w:p>
    <w:p>
      <w:pPr>
        <w:spacing w:before="160" w:after="80"/>
      </w:pPr>
      <w:r>
        <w:rPr>
          <w:rFonts w:ascii="Arial" w:hAnsi="Arial"/>
          <w:b/>
          <w:color w:val="D97706"/>
          <w:sz w:val="22"/>
        </w:rPr>
        <w:t xml:space="preserve">【第二章：系統體檢】 </w:t>
      </w:r>
      <w:r>
        <w:rPr>
          <w:rFonts w:ascii="Arial" w:hAnsi="Arial"/>
          <w:b/>
          <w:color w:val="A83212"/>
          <w:sz w:val="30"/>
        </w:rPr>
        <w:t>2.9 5 大核心系統跨版本相容性與程式庫共享斷層</w:t>
      </w:r>
    </w:p>
    <w:p>
      <w:pPr>
        <w:spacing w:before="0" w:after="200"/>
      </w:pPr>
      <w:r>
        <w:rPr>
          <w:rFonts w:ascii="Arial" w:hAnsi="Arial"/>
          <w:i/>
          <w:color w:val="78716C"/>
          <w:sz w:val="19"/>
        </w:rPr>
        <w:t>Ecosystem Chasm · .NET Framework 4.8 vs .NET 8 Class Library Incompatibility</w:t>
      </w:r>
    </w:p>
    <w:p>
      <w:pPr>
        <w:spacing w:before="0" w:after="120" w:line="276" w:lineRule="auto"/>
      </w:pPr>
      <w:r>
        <w:rPr>
          <w:rFonts w:ascii="Arial" w:hAnsi="Arial"/>
          <w:color w:val="1C1917"/>
          <w:sz w:val="19"/>
        </w:rPr>
        <w:t>將信源全集團 5 大系統並列檢視，最深層的架構危機在於『.NET 生態系統的兩代斷層（The .NET Ecosystem Chasm）』：</w:t>
      </w:r>
    </w:p>
    <w:tbl>
      <w:tblPr>
        <w:tblW w:type="auto" w:w="0"/>
        <w:jc w:val="center"/>
        <w:tblLook w:firstColumn="1" w:firstRow="1" w:lastColumn="0" w:lastRow="0" w:noHBand="0" w:noVBand="1" w:val="04A0"/>
      </w:tblPr>
      <w:tblGrid>
        <w:gridCol w:w="1930"/>
        <w:gridCol w:w="1930"/>
        <w:gridCol w:w="1930"/>
        <w:gridCol w:w="1930"/>
        <w:gridCol w:w="1930"/>
      </w:tblGrid>
      <w:tr>
        <w:tc>
          <w:tcPr>
            <w:tcW w:type="dxa" w:w="2592"/>
            <w:shd w:fill="F5EFEB"/>
            <w:tcMar>
              <w:top w:w="80" w:type="dxa"/>
              <w:bottom w:w="80" w:type="dxa"/>
              <w:left w:w="100" w:type="dxa"/>
              <w:right w:w="100" w:type="dxa"/>
            </w:tcMar>
          </w:tcPr>
          <w:p>
            <w:r>
              <w:rPr>
                <w:rFonts w:ascii="Arial" w:hAnsi="Arial"/>
                <w:b/>
                <w:color w:val="A83212"/>
                <w:sz w:val="17"/>
              </w:rPr>
              <w:t>系統名稱</w:t>
            </w:r>
          </w:p>
        </w:tc>
        <w:tc>
          <w:tcPr>
            <w:tcW w:type="dxa" w:w="2592"/>
            <w:shd w:fill="F5EFEB"/>
            <w:tcMar>
              <w:top w:w="80" w:type="dxa"/>
              <w:bottom w:w="80" w:type="dxa"/>
              <w:left w:w="100" w:type="dxa"/>
              <w:right w:w="100" w:type="dxa"/>
            </w:tcMar>
          </w:tcPr>
          <w:p>
            <w:r>
              <w:rPr>
                <w:rFonts w:ascii="Arial" w:hAnsi="Arial"/>
                <w:b/>
                <w:color w:val="A83212"/>
                <w:sz w:val="17"/>
              </w:rPr>
              <w:t>後端核心技術</w:t>
            </w:r>
          </w:p>
        </w:tc>
        <w:tc>
          <w:tcPr>
            <w:tcW w:type="dxa" w:w="2304"/>
            <w:shd w:fill="F5EFEB"/>
            <w:tcMar>
              <w:top w:w="80" w:type="dxa"/>
              <w:bottom w:w="80" w:type="dxa"/>
              <w:left w:w="100" w:type="dxa"/>
              <w:right w:w="100" w:type="dxa"/>
            </w:tcMar>
          </w:tcPr>
          <w:p>
            <w:r>
              <w:rPr>
                <w:rFonts w:ascii="Arial" w:hAnsi="Arial"/>
                <w:b/>
                <w:color w:val="A83212"/>
                <w:sz w:val="17"/>
              </w:rPr>
              <w:t>前端使用者介面</w:t>
            </w:r>
          </w:p>
        </w:tc>
        <w:tc>
          <w:tcPr>
            <w:tcW w:type="dxa" w:w="1440"/>
            <w:shd w:fill="F5EFEB"/>
            <w:tcMar>
              <w:top w:w="80" w:type="dxa"/>
              <w:bottom w:w="80" w:type="dxa"/>
              <w:left w:w="100" w:type="dxa"/>
              <w:right w:w="100" w:type="dxa"/>
            </w:tcMar>
          </w:tcPr>
          <w:p>
            <w:r>
              <w:rPr>
                <w:rFonts w:ascii="Arial" w:hAnsi="Arial"/>
                <w:b/>
                <w:color w:val="A83212"/>
                <w:sz w:val="17"/>
              </w:rPr>
              <w:t>是否支援 Linux 容器</w:t>
            </w:r>
          </w:p>
        </w:tc>
        <w:tc>
          <w:tcPr>
            <w:tcW w:type="dxa" w:w="1440"/>
            <w:shd w:fill="F5EFEB"/>
            <w:tcMar>
              <w:top w:w="80" w:type="dxa"/>
              <w:bottom w:w="80" w:type="dxa"/>
              <w:left w:w="100" w:type="dxa"/>
              <w:right w:w="100" w:type="dxa"/>
            </w:tcMar>
          </w:tcPr>
          <w:p>
            <w:r>
              <w:rPr>
                <w:rFonts w:ascii="Arial" w:hAnsi="Arial"/>
                <w:b/>
                <w:color w:val="A83212"/>
                <w:sz w:val="17"/>
              </w:rPr>
              <w:t>代碼共用能力 (DLL)</w:t>
            </w:r>
          </w:p>
        </w:tc>
      </w:tr>
      <w:tr>
        <w:tc>
          <w:tcPr>
            <w:tcW w:type="dxa" w:w="2592"/>
            <w:shd w:fill="FFFFFF"/>
            <w:tcMar>
              <w:top w:w="60" w:type="dxa"/>
              <w:bottom w:w="60" w:type="dxa"/>
              <w:left w:w="100" w:type="dxa"/>
              <w:right w:w="100" w:type="dxa"/>
            </w:tcMar>
          </w:tcPr>
          <w:p>
            <w:r>
              <w:rPr>
                <w:rFonts w:ascii="Arial" w:hAnsi="Arial"/>
                <w:color w:val="1C1917"/>
                <w:sz w:val="16"/>
              </w:rPr>
              <w:t>1. Dynamics 365 F&amp;O</w:t>
            </w:r>
          </w:p>
        </w:tc>
        <w:tc>
          <w:tcPr>
            <w:tcW w:type="dxa" w:w="2592"/>
            <w:shd w:fill="FFFFFF"/>
            <w:tcMar>
              <w:top w:w="60" w:type="dxa"/>
              <w:bottom w:w="60" w:type="dxa"/>
              <w:left w:w="100" w:type="dxa"/>
              <w:right w:w="100" w:type="dxa"/>
            </w:tcMar>
          </w:tcPr>
          <w:p>
            <w:r>
              <w:rPr>
                <w:rFonts w:ascii="Arial" w:hAnsi="Arial"/>
                <w:color w:val="1C1917"/>
                <w:sz w:val="16"/>
              </w:rPr>
              <w:t>微軟雲端 X++ (SaaS)</w:t>
            </w:r>
          </w:p>
        </w:tc>
        <w:tc>
          <w:tcPr>
            <w:tcW w:type="dxa" w:w="2304"/>
            <w:shd w:fill="FFFFFF"/>
            <w:tcMar>
              <w:top w:w="60" w:type="dxa"/>
              <w:bottom w:w="60" w:type="dxa"/>
              <w:left w:w="100" w:type="dxa"/>
              <w:right w:w="100" w:type="dxa"/>
            </w:tcMar>
          </w:tcPr>
          <w:p>
            <w:r>
              <w:rPr>
                <w:rFonts w:ascii="Arial" w:hAnsi="Arial"/>
                <w:color w:val="1C1917"/>
                <w:sz w:val="16"/>
              </w:rPr>
              <w:t>Web Browser Client</w:t>
            </w:r>
          </w:p>
        </w:tc>
        <w:tc>
          <w:tcPr>
            <w:tcW w:type="dxa" w:w="1440"/>
            <w:shd w:fill="FFFFFF"/>
            <w:tcMar>
              <w:top w:w="60" w:type="dxa"/>
              <w:bottom w:w="60" w:type="dxa"/>
              <w:left w:w="100" w:type="dxa"/>
              <w:right w:w="100" w:type="dxa"/>
            </w:tcMar>
          </w:tcPr>
          <w:p>
            <w:r>
              <w:rPr>
                <w:rFonts w:ascii="Arial" w:hAnsi="Arial"/>
                <w:color w:val="1C1917"/>
                <w:sz w:val="16"/>
              </w:rPr>
              <w:t>微軟雲端受管</w:t>
            </w:r>
          </w:p>
        </w:tc>
        <w:tc>
          <w:tcPr>
            <w:tcW w:type="dxa" w:w="1440"/>
            <w:shd w:fill="FFFFFF"/>
            <w:tcMar>
              <w:top w:w="60" w:type="dxa"/>
              <w:bottom w:w="60" w:type="dxa"/>
              <w:left w:w="100" w:type="dxa"/>
              <w:right w:w="100" w:type="dxa"/>
            </w:tcMar>
          </w:tcPr>
          <w:p>
            <w:r>
              <w:rPr>
                <w:rFonts w:ascii="Arial" w:hAnsi="Arial"/>
                <w:color w:val="1C1917"/>
                <w:sz w:val="16"/>
              </w:rPr>
              <w:t>無法與地端 C# DLL 直接共用</w:t>
            </w:r>
          </w:p>
        </w:tc>
      </w:tr>
      <w:tr>
        <w:tc>
          <w:tcPr>
            <w:tcW w:type="dxa" w:w="2592"/>
            <w:shd w:fill="FAFAF9"/>
            <w:tcMar>
              <w:top w:w="60" w:type="dxa"/>
              <w:bottom w:w="60" w:type="dxa"/>
              <w:left w:w="100" w:type="dxa"/>
              <w:right w:w="100" w:type="dxa"/>
            </w:tcMar>
          </w:tcPr>
          <w:p>
            <w:r>
              <w:rPr>
                <w:rFonts w:ascii="Arial" w:hAnsi="Arial"/>
                <w:color w:val="1C1917"/>
                <w:sz w:val="16"/>
              </w:rPr>
              <w:t>2. RD Sample 打樣</w:t>
            </w:r>
          </w:p>
        </w:tc>
        <w:tc>
          <w:tcPr>
            <w:tcW w:type="dxa" w:w="2592"/>
            <w:shd w:fill="FAFAF9"/>
            <w:tcMar>
              <w:top w:w="60" w:type="dxa"/>
              <w:bottom w:w="60" w:type="dxa"/>
              <w:left w:w="100" w:type="dxa"/>
              <w:right w:w="100" w:type="dxa"/>
            </w:tcMar>
          </w:tcPr>
          <w:p>
            <w:r>
              <w:rPr>
                <w:rFonts w:ascii="Arial" w:hAnsi="Arial"/>
                <w:color w:val="1C1917"/>
                <w:sz w:val="16"/>
              </w:rPr>
              <w:t>.NET Framework 4.8</w:t>
            </w:r>
          </w:p>
        </w:tc>
        <w:tc>
          <w:tcPr>
            <w:tcW w:type="dxa" w:w="2304"/>
            <w:shd w:fill="FAFAF9"/>
            <w:tcMar>
              <w:top w:w="60" w:type="dxa"/>
              <w:bottom w:w="60" w:type="dxa"/>
              <w:left w:w="100" w:type="dxa"/>
              <w:right w:w="100" w:type="dxa"/>
            </w:tcMar>
          </w:tcPr>
          <w:p>
            <w:r>
              <w:rPr>
                <w:rFonts w:ascii="Arial" w:hAnsi="Arial"/>
                <w:color w:val="1C1917"/>
                <w:sz w:val="16"/>
              </w:rPr>
              <w:t>Knockout.js (舊時代)</w:t>
            </w:r>
          </w:p>
        </w:tc>
        <w:tc>
          <w:tcPr>
            <w:tcW w:type="dxa" w:w="1440"/>
            <w:shd w:fill="FAFAF9"/>
            <w:tcMar>
              <w:top w:w="60" w:type="dxa"/>
              <w:bottom w:w="60" w:type="dxa"/>
              <w:left w:w="100" w:type="dxa"/>
              <w:right w:w="100" w:type="dxa"/>
            </w:tcMar>
          </w:tcPr>
          <w:p>
            <w:r>
              <w:rPr>
                <w:rFonts w:ascii="Arial" w:hAnsi="Arial"/>
                <w:color w:val="1C1917"/>
                <w:sz w:val="16"/>
              </w:rPr>
              <w:t>否 (綁死 Windows)</w:t>
            </w:r>
          </w:p>
        </w:tc>
        <w:tc>
          <w:tcPr>
            <w:tcW w:type="dxa" w:w="1440"/>
            <w:shd w:fill="FAFAF9"/>
            <w:tcMar>
              <w:top w:w="60" w:type="dxa"/>
              <w:bottom w:w="60" w:type="dxa"/>
              <w:left w:w="100" w:type="dxa"/>
              <w:right w:w="100" w:type="dxa"/>
            </w:tcMar>
          </w:tcPr>
          <w:p>
            <w:r>
              <w:rPr>
                <w:rFonts w:ascii="Arial" w:hAnsi="Arial"/>
                <w:color w:val="1C1917"/>
                <w:sz w:val="16"/>
              </w:rPr>
              <w:t>僅能共用 .NET 4.8 舊組件</w:t>
            </w:r>
          </w:p>
        </w:tc>
      </w:tr>
      <w:tr>
        <w:tc>
          <w:tcPr>
            <w:tcW w:type="dxa" w:w="2592"/>
            <w:shd w:fill="FFFFFF"/>
            <w:tcMar>
              <w:top w:w="60" w:type="dxa"/>
              <w:bottom w:w="60" w:type="dxa"/>
              <w:left w:w="100" w:type="dxa"/>
              <w:right w:w="100" w:type="dxa"/>
            </w:tcMar>
          </w:tcPr>
          <w:p>
            <w:r>
              <w:rPr>
                <w:rFonts w:ascii="Arial" w:hAnsi="Arial"/>
                <w:color w:val="1C1917"/>
                <w:sz w:val="16"/>
              </w:rPr>
              <w:t>3. D365 外掛模組</w:t>
            </w:r>
          </w:p>
        </w:tc>
        <w:tc>
          <w:tcPr>
            <w:tcW w:type="dxa" w:w="2592"/>
            <w:shd w:fill="FFFFFF"/>
            <w:tcMar>
              <w:top w:w="60" w:type="dxa"/>
              <w:bottom w:w="60" w:type="dxa"/>
              <w:left w:w="100" w:type="dxa"/>
              <w:right w:w="100" w:type="dxa"/>
            </w:tcMar>
          </w:tcPr>
          <w:p>
            <w:r>
              <w:rPr>
                <w:rFonts w:ascii="Arial" w:hAnsi="Arial"/>
                <w:color w:val="1C1917"/>
                <w:sz w:val="16"/>
              </w:rPr>
              <w:t>.NET 4.8 (Web API 5.2)</w:t>
            </w:r>
          </w:p>
        </w:tc>
        <w:tc>
          <w:tcPr>
            <w:tcW w:type="dxa" w:w="2304"/>
            <w:shd w:fill="FFFFFF"/>
            <w:tcMar>
              <w:top w:w="60" w:type="dxa"/>
              <w:bottom w:w="60" w:type="dxa"/>
              <w:left w:w="100" w:type="dxa"/>
              <w:right w:w="100" w:type="dxa"/>
            </w:tcMar>
          </w:tcPr>
          <w:p>
            <w:r>
              <w:rPr>
                <w:rFonts w:ascii="Arial" w:hAnsi="Arial"/>
                <w:color w:val="1C1917"/>
                <w:sz w:val="16"/>
              </w:rPr>
              <w:t>ASP.NET MVC 經典</w:t>
            </w:r>
          </w:p>
        </w:tc>
        <w:tc>
          <w:tcPr>
            <w:tcW w:type="dxa" w:w="1440"/>
            <w:shd w:fill="FFFFFF"/>
            <w:tcMar>
              <w:top w:w="60" w:type="dxa"/>
              <w:bottom w:w="60" w:type="dxa"/>
              <w:left w:w="100" w:type="dxa"/>
              <w:right w:w="100" w:type="dxa"/>
            </w:tcMar>
          </w:tcPr>
          <w:p>
            <w:r>
              <w:rPr>
                <w:rFonts w:ascii="Arial" w:hAnsi="Arial"/>
                <w:color w:val="1C1917"/>
                <w:sz w:val="16"/>
              </w:rPr>
              <w:t>否 (綁死 IIS 伺服器)</w:t>
            </w:r>
          </w:p>
        </w:tc>
        <w:tc>
          <w:tcPr>
            <w:tcW w:type="dxa" w:w="1440"/>
            <w:shd w:fill="FFFFFF"/>
            <w:tcMar>
              <w:top w:w="60" w:type="dxa"/>
              <w:bottom w:w="60" w:type="dxa"/>
              <w:left w:w="100" w:type="dxa"/>
              <w:right w:w="100" w:type="dxa"/>
            </w:tcMar>
          </w:tcPr>
          <w:p>
            <w:r>
              <w:rPr>
                <w:rFonts w:ascii="Arial" w:hAnsi="Arial"/>
                <w:color w:val="1C1917"/>
                <w:sz w:val="16"/>
              </w:rPr>
              <w:t>僅能共用 .NET 4.8 舊組件</w:t>
            </w:r>
          </w:p>
        </w:tc>
      </w:tr>
      <w:tr>
        <w:tc>
          <w:tcPr>
            <w:tcW w:type="dxa" w:w="2592"/>
            <w:shd w:fill="FAFAF9"/>
            <w:tcMar>
              <w:top w:w="60" w:type="dxa"/>
              <w:bottom w:w="60" w:type="dxa"/>
              <w:left w:w="100" w:type="dxa"/>
              <w:right w:w="100" w:type="dxa"/>
            </w:tcMar>
          </w:tcPr>
          <w:p>
            <w:r>
              <w:rPr>
                <w:rFonts w:ascii="Arial" w:hAnsi="Arial"/>
                <w:color w:val="1C1917"/>
                <w:sz w:val="16"/>
              </w:rPr>
              <w:t>4. CQS 品質系統</w:t>
            </w:r>
          </w:p>
        </w:tc>
        <w:tc>
          <w:tcPr>
            <w:tcW w:type="dxa" w:w="2592"/>
            <w:shd w:fill="FAFAF9"/>
            <w:tcMar>
              <w:top w:w="60" w:type="dxa"/>
              <w:bottom w:w="60" w:type="dxa"/>
              <w:left w:w="100" w:type="dxa"/>
              <w:right w:w="100" w:type="dxa"/>
            </w:tcMar>
          </w:tcPr>
          <w:p>
            <w:r>
              <w:rPr>
                <w:rFonts w:ascii="Arial" w:hAnsi="Arial"/>
                <w:color w:val="1C1917"/>
                <w:sz w:val="16"/>
              </w:rPr>
              <w:t>.NET Core 8.0 (現代)</w:t>
            </w:r>
          </w:p>
        </w:tc>
        <w:tc>
          <w:tcPr>
            <w:tcW w:type="dxa" w:w="2304"/>
            <w:shd w:fill="FAFAF9"/>
            <w:tcMar>
              <w:top w:w="60" w:type="dxa"/>
              <w:bottom w:w="60" w:type="dxa"/>
              <w:left w:w="100" w:type="dxa"/>
              <w:right w:w="100" w:type="dxa"/>
            </w:tcMar>
          </w:tcPr>
          <w:p>
            <w:r>
              <w:rPr>
                <w:rFonts w:ascii="Arial" w:hAnsi="Arial"/>
                <w:color w:val="1C1917"/>
                <w:sz w:val="16"/>
              </w:rPr>
              <w:t>Vue 3 ＋ TypeScript</w:t>
            </w:r>
          </w:p>
        </w:tc>
        <w:tc>
          <w:tcPr>
            <w:tcW w:type="dxa" w:w="1440"/>
            <w:shd w:fill="FAFAF9"/>
            <w:tcMar>
              <w:top w:w="60" w:type="dxa"/>
              <w:bottom w:w="60" w:type="dxa"/>
              <w:left w:w="100" w:type="dxa"/>
              <w:right w:w="100" w:type="dxa"/>
            </w:tcMar>
          </w:tcPr>
          <w:p>
            <w:r>
              <w:rPr>
                <w:rFonts w:ascii="Arial" w:hAnsi="Arial"/>
                <w:color w:val="1C1917"/>
                <w:sz w:val="16"/>
              </w:rPr>
              <w:t>★ 是 (Docker / Alpine)</w:t>
            </w:r>
          </w:p>
        </w:tc>
        <w:tc>
          <w:tcPr>
            <w:tcW w:type="dxa" w:w="1440"/>
            <w:shd w:fill="FAFAF9"/>
            <w:tcMar>
              <w:top w:w="60" w:type="dxa"/>
              <w:bottom w:w="60" w:type="dxa"/>
              <w:left w:w="100" w:type="dxa"/>
              <w:right w:w="100" w:type="dxa"/>
            </w:tcMar>
          </w:tcPr>
          <w:p>
            <w:r>
              <w:rPr>
                <w:rFonts w:ascii="Arial" w:hAnsi="Arial"/>
                <w:color w:val="1C1917"/>
                <w:sz w:val="16"/>
              </w:rPr>
              <w:t>★ 可共用現代跨平台 DLL 庫</w:t>
            </w:r>
          </w:p>
        </w:tc>
      </w:tr>
      <w:tr>
        <w:tc>
          <w:tcPr>
            <w:tcW w:type="dxa" w:w="2592"/>
            <w:shd w:fill="FFFFFF"/>
            <w:tcMar>
              <w:top w:w="60" w:type="dxa"/>
              <w:bottom w:w="60" w:type="dxa"/>
              <w:left w:w="100" w:type="dxa"/>
              <w:right w:w="100" w:type="dxa"/>
            </w:tcMar>
          </w:tcPr>
          <w:p>
            <w:r>
              <w:rPr>
                <w:rFonts w:ascii="Arial" w:hAnsi="Arial"/>
                <w:color w:val="1C1917"/>
                <w:sz w:val="16"/>
              </w:rPr>
              <w:t>5. 快遞物流系統</w:t>
            </w:r>
          </w:p>
        </w:tc>
        <w:tc>
          <w:tcPr>
            <w:tcW w:type="dxa" w:w="2592"/>
            <w:shd w:fill="FFFFFF"/>
            <w:tcMar>
              <w:top w:w="60" w:type="dxa"/>
              <w:bottom w:w="60" w:type="dxa"/>
              <w:left w:w="100" w:type="dxa"/>
              <w:right w:w="100" w:type="dxa"/>
            </w:tcMar>
          </w:tcPr>
          <w:p>
            <w:r>
              <w:rPr>
                <w:rFonts w:ascii="Arial" w:hAnsi="Arial"/>
                <w:color w:val="1C1917"/>
                <w:sz w:val="16"/>
              </w:rPr>
              <w:t>.NET Framework 4.8</w:t>
            </w:r>
          </w:p>
        </w:tc>
        <w:tc>
          <w:tcPr>
            <w:tcW w:type="dxa" w:w="2304"/>
            <w:shd w:fill="FFFFFF"/>
            <w:tcMar>
              <w:top w:w="60" w:type="dxa"/>
              <w:bottom w:w="60" w:type="dxa"/>
              <w:left w:w="100" w:type="dxa"/>
              <w:right w:w="100" w:type="dxa"/>
            </w:tcMar>
          </w:tcPr>
          <w:p>
            <w:r>
              <w:rPr>
                <w:rFonts w:ascii="Arial" w:hAnsi="Arial"/>
                <w:color w:val="1C1917"/>
                <w:sz w:val="16"/>
              </w:rPr>
              <w:t>Vue 3 (現代前端)</w:t>
            </w:r>
          </w:p>
        </w:tc>
        <w:tc>
          <w:tcPr>
            <w:tcW w:type="dxa" w:w="1440"/>
            <w:shd w:fill="FFFFFF"/>
            <w:tcMar>
              <w:top w:w="60" w:type="dxa"/>
              <w:bottom w:w="60" w:type="dxa"/>
              <w:left w:w="100" w:type="dxa"/>
              <w:right w:w="100" w:type="dxa"/>
            </w:tcMar>
          </w:tcPr>
          <w:p>
            <w:r>
              <w:rPr>
                <w:rFonts w:ascii="Arial" w:hAnsi="Arial"/>
                <w:color w:val="1C1917"/>
                <w:sz w:val="16"/>
              </w:rPr>
              <w:t>否 (綁死 Windows)</w:t>
            </w:r>
          </w:p>
        </w:tc>
        <w:tc>
          <w:tcPr>
            <w:tcW w:type="dxa" w:w="1440"/>
            <w:shd w:fill="FFFFFF"/>
            <w:tcMar>
              <w:top w:w="60" w:type="dxa"/>
              <w:bottom w:w="60" w:type="dxa"/>
              <w:left w:w="100" w:type="dxa"/>
              <w:right w:w="100" w:type="dxa"/>
            </w:tcMar>
          </w:tcPr>
          <w:p>
            <w:r>
              <w:rPr>
                <w:rFonts w:ascii="Arial" w:hAnsi="Arial"/>
                <w:color w:val="1C1917"/>
                <w:sz w:val="16"/>
              </w:rPr>
              <w:t>僅能共用 .NET 4.8 舊組件</w:t>
            </w:r>
          </w:p>
        </w:tc>
      </w:tr>
    </w:tbl>
    <w:p>
      <w:pPr>
        <w:spacing w:after="80"/>
      </w:pPr>
    </w:p>
    <w:p>
      <w:pPr>
        <w:spacing w:before="0" w:after="120" w:line="276" w:lineRule="auto"/>
      </w:pPr>
      <w:r>
        <w:rPr>
          <w:rFonts w:ascii="Arial" w:hAnsi="Arial"/>
          <w:color w:val="1C1917"/>
          <w:sz w:val="19"/>
        </w:rPr>
        <w:t>因為 .NET 4.8 與 .NET 8 底層 CLR 運行庫不相容，導致成衣最核心的商業運算邏輯（例如布料耗用率計算、成衣計件單價公式、BOM 展料演算法），**無法封裝成同一顆 DLL 程式庫跨專案共用**！工程師只能在各專案中『複製貼上相同的代碼』，日後一旦公式微調，必有一邊忘記修改，埋下跨系統資料對不齊的重大隱患。</w:t>
      </w:r>
    </w:p>
    <w:p>
      <w:r>
        <w:br w:type="page"/>
      </w:r>
    </w:p>
    <w:p>
      <w:pPr>
        <w:spacing w:before="160" w:after="80"/>
      </w:pPr>
      <w:r>
        <w:rPr>
          <w:rFonts w:ascii="Arial" w:hAnsi="Arial"/>
          <w:b/>
          <w:color w:val="D97706"/>
          <w:sz w:val="22"/>
        </w:rPr>
        <w:t xml:space="preserve">【第二章：系統體檢】 </w:t>
      </w:r>
      <w:r>
        <w:rPr>
          <w:rFonts w:ascii="Arial" w:hAnsi="Arial"/>
          <w:b/>
          <w:color w:val="A83212"/>
          <w:sz w:val="30"/>
        </w:rPr>
        <w:t>2.10 技術債風險矩陣評估與分階段淘汰/翻新路線圖</w:t>
      </w:r>
    </w:p>
    <w:p>
      <w:pPr>
        <w:spacing w:before="0" w:after="200"/>
      </w:pPr>
      <w:r>
        <w:rPr>
          <w:rFonts w:ascii="Arial" w:hAnsi="Arial"/>
          <w:i/>
          <w:color w:val="78716C"/>
          <w:sz w:val="19"/>
        </w:rPr>
        <w:t>Technical Debt Matrix, Legacy Modernization Roadmap &amp; Retirement Strategy</w:t>
      </w:r>
    </w:p>
    <w:p>
      <w:pPr>
        <w:spacing w:before="0" w:after="120" w:line="276" w:lineRule="auto"/>
      </w:pPr>
      <w:r>
        <w:rPr>
          <w:rFonts w:ascii="Arial" w:hAnsi="Arial"/>
          <w:color w:val="1C1917"/>
          <w:sz w:val="19"/>
        </w:rPr>
        <w:t>綜合上述體檢結果，顧問團隊為信源 5 大系統繪製了『技術債風險矩陣』，並制定兼顧產線營運穩健的『分階段淘汰與現代化演進路線圖』：</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推進階段與時程</w:t>
            </w:r>
          </w:p>
        </w:tc>
        <w:tc>
          <w:tcPr>
            <w:tcW w:type="dxa" w:w="2592"/>
            <w:shd w:fill="F5EFEB"/>
            <w:tcMar>
              <w:top w:w="80" w:type="dxa"/>
              <w:bottom w:w="80" w:type="dxa"/>
              <w:left w:w="100" w:type="dxa"/>
              <w:right w:w="100" w:type="dxa"/>
            </w:tcMar>
          </w:tcPr>
          <w:p>
            <w:r>
              <w:rPr>
                <w:rFonts w:ascii="Arial" w:hAnsi="Arial"/>
                <w:b/>
                <w:color w:val="A83212"/>
                <w:sz w:val="17"/>
              </w:rPr>
              <w:t>目標系統與技術棧</w:t>
            </w:r>
          </w:p>
        </w:tc>
        <w:tc>
          <w:tcPr>
            <w:tcW w:type="dxa" w:w="3168"/>
            <w:shd w:fill="F5EFEB"/>
            <w:tcMar>
              <w:top w:w="80" w:type="dxa"/>
              <w:bottom w:w="80" w:type="dxa"/>
              <w:left w:w="100" w:type="dxa"/>
              <w:right w:w="100" w:type="dxa"/>
            </w:tcMar>
          </w:tcPr>
          <w:p>
            <w:r>
              <w:rPr>
                <w:rFonts w:ascii="Arial" w:hAnsi="Arial"/>
                <w:b/>
                <w:color w:val="A83212"/>
                <w:sz w:val="17"/>
              </w:rPr>
              <w:t>主要實施動作與工程手法</w:t>
            </w:r>
          </w:p>
        </w:tc>
        <w:tc>
          <w:tcPr>
            <w:tcW w:type="dxa" w:w="2016"/>
            <w:shd w:fill="F5EFEB"/>
            <w:tcMar>
              <w:top w:w="80" w:type="dxa"/>
              <w:bottom w:w="80" w:type="dxa"/>
              <w:left w:w="100" w:type="dxa"/>
              <w:right w:w="100" w:type="dxa"/>
            </w:tcMar>
          </w:tcPr>
          <w:p>
            <w:r>
              <w:rPr>
                <w:rFonts w:ascii="Arial" w:hAnsi="Arial"/>
                <w:b/>
                <w:color w:val="A83212"/>
                <w:sz w:val="17"/>
              </w:rPr>
              <w:t>驗收成效指標</w:t>
            </w:r>
          </w:p>
        </w:tc>
      </w:tr>
      <w:tr>
        <w:tc>
          <w:tcPr>
            <w:tcW w:type="dxa" w:w="2592"/>
            <w:shd w:fill="FFFFFF"/>
            <w:tcMar>
              <w:top w:w="60" w:type="dxa"/>
              <w:bottom w:w="60" w:type="dxa"/>
              <w:left w:w="100" w:type="dxa"/>
              <w:right w:w="100" w:type="dxa"/>
            </w:tcMar>
          </w:tcPr>
          <w:p>
            <w:r>
              <w:rPr>
                <w:rFonts w:ascii="Arial" w:hAnsi="Arial"/>
                <w:color w:val="1C1917"/>
                <w:sz w:val="16"/>
              </w:rPr>
              <w:t>第一階段 · 數位底座</w:t>
              <w:br/>
              <w:t>(2026/11 ~ 2027/01)</w:t>
            </w:r>
          </w:p>
        </w:tc>
        <w:tc>
          <w:tcPr>
            <w:tcW w:type="dxa" w:w="2592"/>
            <w:shd w:fill="FFFFFF"/>
            <w:tcMar>
              <w:top w:w="60" w:type="dxa"/>
              <w:bottom w:w="60" w:type="dxa"/>
              <w:left w:w="100" w:type="dxa"/>
              <w:right w:w="100" w:type="dxa"/>
            </w:tcMar>
          </w:tcPr>
          <w:p>
            <w:r>
              <w:rPr>
                <w:rFonts w:ascii="Arial" w:hAnsi="Arial"/>
                <w:color w:val="1C1917"/>
                <w:sz w:val="16"/>
              </w:rPr>
              <w:t>CQS 系統</w:t>
              <w:br/>
              <w:t>(.NET 8 + Vue 3)</w:t>
            </w:r>
          </w:p>
        </w:tc>
        <w:tc>
          <w:tcPr>
            <w:tcW w:type="dxa" w:w="3168"/>
            <w:shd w:fill="FFFFFF"/>
            <w:tcMar>
              <w:top w:w="60" w:type="dxa"/>
              <w:bottom w:w="60" w:type="dxa"/>
              <w:left w:w="100" w:type="dxa"/>
              <w:right w:w="100" w:type="dxa"/>
            </w:tcMar>
          </w:tcPr>
          <w:p>
            <w:r>
              <w:rPr>
                <w:rFonts w:ascii="Arial" w:hAnsi="Arial"/>
                <w:color w:val="1C1917"/>
                <w:sz w:val="16"/>
              </w:rPr>
              <w:t>• 固化為集團標準架構樣板</w:t>
              <w:br/>
              <w:t>• 導入 GitLab MR 審查門禁</w:t>
              <w:br/>
              <w:t>• 試行 AI Coding 生命週期 (2 Sprint)</w:t>
            </w:r>
          </w:p>
        </w:tc>
        <w:tc>
          <w:tcPr>
            <w:tcW w:type="dxa" w:w="2016"/>
            <w:shd w:fill="FFFFFF"/>
            <w:tcMar>
              <w:top w:w="60" w:type="dxa"/>
              <w:bottom w:w="60" w:type="dxa"/>
              <w:left w:w="100" w:type="dxa"/>
              <w:right w:w="100" w:type="dxa"/>
            </w:tcMar>
          </w:tcPr>
          <w:p>
            <w:r>
              <w:rPr>
                <w:rFonts w:ascii="Arial" w:hAnsi="Arial"/>
                <w:color w:val="1C1917"/>
                <w:sz w:val="16"/>
              </w:rPr>
              <w:t>確立信源標準 Coding Guideline，無中斷完成示範系統 AI 審核試行。</w:t>
            </w:r>
          </w:p>
        </w:tc>
      </w:tr>
      <w:tr>
        <w:tc>
          <w:tcPr>
            <w:tcW w:type="dxa" w:w="2592"/>
            <w:shd w:fill="FAFAF9"/>
            <w:tcMar>
              <w:top w:w="60" w:type="dxa"/>
              <w:bottom w:w="60" w:type="dxa"/>
              <w:left w:w="100" w:type="dxa"/>
              <w:right w:w="100" w:type="dxa"/>
            </w:tcMar>
          </w:tcPr>
          <w:p>
            <w:r>
              <w:rPr>
                <w:rFonts w:ascii="Arial" w:hAnsi="Arial"/>
                <w:color w:val="1C1917"/>
                <w:sz w:val="16"/>
              </w:rPr>
              <w:t>第二階段 · 整合升級</w:t>
              <w:br/>
              <w:t>(2027/02 ~ 2027/06)</w:t>
            </w:r>
          </w:p>
        </w:tc>
        <w:tc>
          <w:tcPr>
            <w:tcW w:type="dxa" w:w="2592"/>
            <w:shd w:fill="FAFAF9"/>
            <w:tcMar>
              <w:top w:w="60" w:type="dxa"/>
              <w:bottom w:w="60" w:type="dxa"/>
              <w:left w:w="100" w:type="dxa"/>
              <w:right w:w="100" w:type="dxa"/>
            </w:tcMar>
          </w:tcPr>
          <w:p>
            <w:r>
              <w:rPr>
                <w:rFonts w:ascii="Arial" w:hAnsi="Arial"/>
                <w:color w:val="1C1917"/>
                <w:sz w:val="16"/>
              </w:rPr>
              <w:t>快遞系統 ＆ D365 外掛</w:t>
              <w:br/>
              <w:t>(.NET 4.8 翻新)</w:t>
            </w:r>
          </w:p>
        </w:tc>
        <w:tc>
          <w:tcPr>
            <w:tcW w:type="dxa" w:w="3168"/>
            <w:shd w:fill="FAFAF9"/>
            <w:tcMar>
              <w:top w:w="60" w:type="dxa"/>
              <w:bottom w:w="60" w:type="dxa"/>
              <w:left w:w="100" w:type="dxa"/>
              <w:right w:w="100" w:type="dxa"/>
            </w:tcMar>
          </w:tcPr>
          <w:p>
            <w:r>
              <w:rPr>
                <w:rFonts w:ascii="Arial" w:hAnsi="Arial"/>
                <w:color w:val="1C1917"/>
                <w:sz w:val="16"/>
              </w:rPr>
              <w:t>• 將快遞後端升級為 .NET 8 Minimal API</w:t>
              <w:br/>
              <w:t>• D365 外掛重構成微服務，切換至 Synapse Link</w:t>
            </w:r>
          </w:p>
        </w:tc>
        <w:tc>
          <w:tcPr>
            <w:tcW w:type="dxa" w:w="2016"/>
            <w:shd w:fill="FAFAF9"/>
            <w:tcMar>
              <w:top w:w="60" w:type="dxa"/>
              <w:bottom w:w="60" w:type="dxa"/>
              <w:left w:w="100" w:type="dxa"/>
              <w:right w:w="100" w:type="dxa"/>
            </w:tcMar>
          </w:tcPr>
          <w:p>
            <w:r>
              <w:rPr>
                <w:rFonts w:ascii="Arial" w:hAnsi="Arial"/>
                <w:color w:val="1C1917"/>
                <w:sz w:val="16"/>
              </w:rPr>
              <w:t>消滅 IIS 相依性，前後端全面採用 JWT 鑑權，實現 Docker 容器化。</w:t>
            </w:r>
          </w:p>
        </w:tc>
      </w:tr>
      <w:tr>
        <w:tc>
          <w:tcPr>
            <w:tcW w:type="dxa" w:w="2592"/>
            <w:shd w:fill="FFFFFF"/>
            <w:tcMar>
              <w:top w:w="60" w:type="dxa"/>
              <w:bottom w:w="60" w:type="dxa"/>
              <w:left w:w="100" w:type="dxa"/>
              <w:right w:w="100" w:type="dxa"/>
            </w:tcMar>
          </w:tcPr>
          <w:p>
            <w:r>
              <w:rPr>
                <w:rFonts w:ascii="Arial" w:hAnsi="Arial"/>
                <w:color w:val="1C1917"/>
                <w:sz w:val="16"/>
              </w:rPr>
              <w:t>第三階段 · 智能躍升</w:t>
              <w:br/>
              <w:t>(2027/07 ~ 2027/12)</w:t>
            </w:r>
          </w:p>
        </w:tc>
        <w:tc>
          <w:tcPr>
            <w:tcW w:type="dxa" w:w="2592"/>
            <w:shd w:fill="FFFFFF"/>
            <w:tcMar>
              <w:top w:w="60" w:type="dxa"/>
              <w:bottom w:w="60" w:type="dxa"/>
              <w:left w:w="100" w:type="dxa"/>
              <w:right w:w="100" w:type="dxa"/>
            </w:tcMar>
          </w:tcPr>
          <w:p>
            <w:r>
              <w:rPr>
                <w:rFonts w:ascii="Arial" w:hAnsi="Arial"/>
                <w:color w:val="1C1917"/>
                <w:sz w:val="16"/>
              </w:rPr>
              <w:t>RD Sample 打樣系統</w:t>
              <w:br/>
              <w:t>(Knockout.js 淘汰)</w:t>
            </w:r>
          </w:p>
        </w:tc>
        <w:tc>
          <w:tcPr>
            <w:tcW w:type="dxa" w:w="3168"/>
            <w:shd w:fill="FFFFFF"/>
            <w:tcMar>
              <w:top w:w="60" w:type="dxa"/>
              <w:bottom w:w="60" w:type="dxa"/>
              <w:left w:w="100" w:type="dxa"/>
              <w:right w:w="100" w:type="dxa"/>
            </w:tcMar>
          </w:tcPr>
          <w:p>
            <w:r>
              <w:rPr>
                <w:rFonts w:ascii="Arial" w:hAnsi="Arial"/>
                <w:color w:val="1C1917"/>
                <w:sz w:val="16"/>
              </w:rPr>
              <w:t>• 藉助 AI 轉譯工具將 Knockout.js 翻新為 Vue 3</w:t>
              <w:br/>
              <w:t>• 後端全面遷移至 .NET 8，商務邏輯封裝為標準 API</w:t>
            </w:r>
          </w:p>
        </w:tc>
        <w:tc>
          <w:tcPr>
            <w:tcW w:type="dxa" w:w="2016"/>
            <w:shd w:fill="FFFFFF"/>
            <w:tcMar>
              <w:top w:w="60" w:type="dxa"/>
              <w:bottom w:w="60" w:type="dxa"/>
              <w:left w:w="100" w:type="dxa"/>
              <w:right w:w="100" w:type="dxa"/>
            </w:tcMar>
          </w:tcPr>
          <w:p>
            <w:r>
              <w:rPr>
                <w:rFonts w:ascii="Arial" w:hAnsi="Arial"/>
                <w:color w:val="1C1917"/>
                <w:sz w:val="16"/>
              </w:rPr>
              <w:t>徹底消滅 10 年前的 Knockout.js 技術債，消除 Bus Factor 人才斷層。</w:t>
            </w:r>
          </w:p>
        </w:tc>
      </w:tr>
    </w:tbl>
    <w:p>
      <w:pPr>
        <w:spacing w:after="80"/>
      </w:pPr>
    </w:p>
    <w:p>
      <w:r>
        <w:br w:type="page"/>
      </w:r>
    </w:p>
    <w:p>
      <w:pPr>
        <w:spacing w:before="160" w:after="80"/>
      </w:pPr>
      <w:r>
        <w:rPr>
          <w:rFonts w:ascii="Arial" w:hAnsi="Arial"/>
          <w:b/>
          <w:color w:val="D97706"/>
          <w:sz w:val="22"/>
        </w:rPr>
        <w:t xml:space="preserve">【第三章：版控治理】 </w:t>
      </w:r>
      <w:r>
        <w:rPr>
          <w:rFonts w:ascii="Arial" w:hAnsi="Arial"/>
          <w:b/>
          <w:color w:val="A83212"/>
          <w:sz w:val="30"/>
        </w:rPr>
        <w:t>3.1 團隊分工與現行工具分裂（Notion 6人 vs Wrike 10人）痛點</w:t>
      </w:r>
    </w:p>
    <w:p>
      <w:pPr>
        <w:spacing w:before="0" w:after="200"/>
      </w:pPr>
      <w:r>
        <w:rPr>
          <w:rFonts w:ascii="Arial" w:hAnsi="Arial"/>
          <w:i/>
          <w:color w:val="78716C"/>
          <w:sz w:val="19"/>
        </w:rPr>
        <w:t>Team Structure &amp; Tool Fragmentation · Notion vs Wrike Analysis</w:t>
      </w:r>
    </w:p>
    <w:p>
      <w:pPr>
        <w:spacing w:before="0" w:after="120" w:line="276" w:lineRule="auto"/>
      </w:pPr>
      <w:r>
        <w:rPr>
          <w:rFonts w:ascii="Arial" w:hAnsi="Arial"/>
          <w:color w:val="1C1917"/>
          <w:sz w:val="19"/>
        </w:rPr>
        <w:t>在深入訪談 ITS 資訊團隊 16 位同仁後，顧問團隊發現信源內部在專案管理與程式碼版控（SCM）上呈現嚴重的『雙軌分裂孤島』：一組為以新創與敏捷思維為主的『Notion 團隊（6人）』，程式碼採用 **GitLab** 託管；另一組為承接傳統大型專案管制的『Wrike 團隊（10人）』，使用 **Wrike** 管理進度，版控則標註為獨立的 **Git** 伺服器。</w:t>
      </w:r>
    </w:p>
    <w:p>
      <w:pPr>
        <w:spacing w:before="0" w:after="120" w:line="276" w:lineRule="auto"/>
      </w:pPr>
      <w:r>
        <w:rPr>
          <w:rFonts w:ascii="Arial" w:hAnsi="Arial"/>
          <w:color w:val="1C1917"/>
          <w:sz w:val="19"/>
        </w:rPr>
        <w:t>這種工具分裂帶來三大營運內耗：第一、跨組開會時資訊無法對齊，進度看 Wrike、技術架構看 Notion，缺乏統一的單一真實來源；第二、每年重複支付高額的 Wrike（每人每月約 25~45 美元，10人年花十幾萬）與 Notion 軟體授權費，形成『SaaS 氾濫浪費』；第三、也是最致命的，兩派工程師的版控伺服器各自獨立，程式碼資產無中心備份與統一安全審查機制。</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【組織治理診斷】</w:t>
              <w:br/>
            </w:r>
            <w:r>
              <w:rPr>
                <w:rFonts w:ascii="Arial" w:hAnsi="Arial"/>
                <w:color w:val="1C1917"/>
                <w:sz w:val="18"/>
              </w:rPr>
              <w:t>『團隊工具的分裂，本質上是組織文化的斷層。』收斂工具鏈不僅能省下每年數十萬元的重複軟體授權，更能促成 16 位工程師在同一套標準下協同作戰。</w:t>
            </w:r>
          </w:p>
        </w:tc>
      </w:tr>
    </w:tbl>
    <w:p>
      <w:pPr>
        <w:spacing w:after="80"/>
      </w:pPr>
    </w:p>
    <w:p>
      <w:r>
        <w:br w:type="page"/>
      </w:r>
    </w:p>
    <w:p>
      <w:pPr>
        <w:spacing w:before="160" w:after="80"/>
      </w:pPr>
      <w:r>
        <w:rPr>
          <w:rFonts w:ascii="Arial" w:hAnsi="Arial"/>
          <w:b/>
          <w:color w:val="D97706"/>
          <w:sz w:val="22"/>
        </w:rPr>
        <w:t xml:space="preserve">【第三章：版控治理】 </w:t>
      </w:r>
      <w:r>
        <w:rPr>
          <w:rFonts w:ascii="Arial" w:hAnsi="Arial"/>
          <w:b/>
          <w:color w:val="A83212"/>
          <w:sz w:val="30"/>
        </w:rPr>
        <w:t>3.2 專案與工時追蹤：全面收斂整合至 Notion 之實施藍圖</w:t>
      </w:r>
    </w:p>
    <w:p>
      <w:pPr>
        <w:spacing w:before="0" w:after="200"/>
      </w:pPr>
      <w:r>
        <w:rPr>
          <w:rFonts w:ascii="Arial" w:hAnsi="Arial"/>
          <w:i/>
          <w:color w:val="78716C"/>
          <w:sz w:val="19"/>
        </w:rPr>
        <w:t>Project Management Consolidation · Unified Notion Workspace &amp; Schema</w:t>
      </w:r>
    </w:p>
    <w:p>
      <w:pPr>
        <w:spacing w:before="0" w:after="120" w:line="276" w:lineRule="auto"/>
      </w:pPr>
      <w:r>
        <w:rPr>
          <w:rFonts w:ascii="Arial" w:hAnsi="Arial"/>
          <w:color w:val="1C1917"/>
          <w:sz w:val="19"/>
        </w:rPr>
        <w:t>周文津副總經理在對齊會談中英明定調：『後續專案與任務追蹤，全數收斂整合至 Notion！』顧問團隊依此指導，規劃了企業級 Notion 整合實施藍圖，將原本散落於 Wrike 的任務表格，轉化為現代化的關聯式資料庫（Relational Database）體系：</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Notion 核心資料庫</w:t>
            </w:r>
          </w:p>
        </w:tc>
        <w:tc>
          <w:tcPr>
            <w:tcW w:type="dxa" w:w="3168"/>
            <w:shd w:fill="F5EFEB"/>
            <w:tcMar>
              <w:top w:w="80" w:type="dxa"/>
              <w:bottom w:w="80" w:type="dxa"/>
              <w:left w:w="100" w:type="dxa"/>
              <w:right w:w="100" w:type="dxa"/>
            </w:tcMar>
          </w:tcPr>
          <w:p>
            <w:r>
              <w:rPr>
                <w:rFonts w:ascii="Arial" w:hAnsi="Arial"/>
                <w:b/>
                <w:color w:val="A83212"/>
                <w:sz w:val="17"/>
              </w:rPr>
              <w:t>資料庫欄位與關聯設計</w:t>
            </w:r>
          </w:p>
        </w:tc>
        <w:tc>
          <w:tcPr>
            <w:tcW w:type="dxa" w:w="2592"/>
            <w:shd w:fill="F5EFEB"/>
            <w:tcMar>
              <w:top w:w="80" w:type="dxa"/>
              <w:bottom w:w="80" w:type="dxa"/>
              <w:left w:w="100" w:type="dxa"/>
              <w:right w:w="100" w:type="dxa"/>
            </w:tcMar>
          </w:tcPr>
          <w:p>
            <w:r>
              <w:rPr>
                <w:rFonts w:ascii="Arial" w:hAnsi="Arial"/>
                <w:b/>
                <w:color w:val="A83212"/>
                <w:sz w:val="17"/>
              </w:rPr>
              <w:t>取代 Wrike 之對應功能</w:t>
            </w:r>
          </w:p>
        </w:tc>
        <w:tc>
          <w:tcPr>
            <w:tcW w:type="dxa" w:w="2016"/>
            <w:shd w:fill="F5EFEB"/>
            <w:tcMar>
              <w:top w:w="80" w:type="dxa"/>
              <w:bottom w:w="80" w:type="dxa"/>
              <w:left w:w="100" w:type="dxa"/>
              <w:right w:w="100" w:type="dxa"/>
            </w:tcMar>
          </w:tcPr>
          <w:p>
            <w:r>
              <w:rPr>
                <w:rFonts w:ascii="Arial" w:hAnsi="Arial"/>
                <w:b/>
                <w:color w:val="A83212"/>
                <w:sz w:val="17"/>
              </w:rPr>
              <w:t>管理成效指標</w:t>
            </w:r>
          </w:p>
        </w:tc>
      </w:tr>
      <w:tr>
        <w:tc>
          <w:tcPr>
            <w:tcW w:type="dxa" w:w="2592"/>
            <w:shd w:fill="FFFFFF"/>
            <w:tcMar>
              <w:top w:w="60" w:type="dxa"/>
              <w:bottom w:w="60" w:type="dxa"/>
              <w:left w:w="100" w:type="dxa"/>
              <w:right w:w="100" w:type="dxa"/>
            </w:tcMar>
          </w:tcPr>
          <w:p>
            <w:r>
              <w:rPr>
                <w:rFonts w:ascii="Arial" w:hAnsi="Arial"/>
                <w:color w:val="1C1917"/>
                <w:sz w:val="16"/>
              </w:rPr>
              <w:t>1. 集團專案大盤</w:t>
              <w:br/>
              <w:t>(Master Projects DB)</w:t>
            </w:r>
          </w:p>
        </w:tc>
        <w:tc>
          <w:tcPr>
            <w:tcW w:type="dxa" w:w="3168"/>
            <w:shd w:fill="FFFFFF"/>
            <w:tcMar>
              <w:top w:w="60" w:type="dxa"/>
              <w:bottom w:w="60" w:type="dxa"/>
              <w:left w:w="100" w:type="dxa"/>
              <w:right w:w="100" w:type="dxa"/>
            </w:tcMar>
          </w:tcPr>
          <w:p>
            <w:r>
              <w:rPr>
                <w:rFonts w:ascii="Arial" w:hAnsi="Arial"/>
                <w:color w:val="1C1917"/>
                <w:sz w:val="16"/>
              </w:rPr>
              <w:t>專案名稱、Pillar歸屬、Sponsor、</w:t>
              <w:br/>
              <w:t>時程區間、進度%、關聯工作包</w:t>
            </w:r>
          </w:p>
        </w:tc>
        <w:tc>
          <w:tcPr>
            <w:tcW w:type="dxa" w:w="2592"/>
            <w:shd w:fill="FFFFFF"/>
            <w:tcMar>
              <w:top w:w="60" w:type="dxa"/>
              <w:bottom w:w="60" w:type="dxa"/>
              <w:left w:w="100" w:type="dxa"/>
              <w:right w:w="100" w:type="dxa"/>
            </w:tcMar>
          </w:tcPr>
          <w:p>
            <w:r>
              <w:rPr>
                <w:rFonts w:ascii="Arial" w:hAnsi="Arial"/>
                <w:color w:val="1C1917"/>
                <w:sz w:val="16"/>
              </w:rPr>
              <w:t>取代 Wrike 專案甘特圖與階層式專案樹狀結構。</w:t>
            </w:r>
          </w:p>
        </w:tc>
        <w:tc>
          <w:tcPr>
            <w:tcW w:type="dxa" w:w="2016"/>
            <w:shd w:fill="FFFFFF"/>
            <w:tcMar>
              <w:top w:w="60" w:type="dxa"/>
              <w:bottom w:w="60" w:type="dxa"/>
              <w:left w:w="100" w:type="dxa"/>
              <w:right w:w="100" w:type="dxa"/>
            </w:tcMar>
          </w:tcPr>
          <w:p>
            <w:r>
              <w:rPr>
                <w:rFonts w:ascii="Arial" w:hAnsi="Arial"/>
                <w:color w:val="1C1917"/>
                <w:sz w:val="16"/>
              </w:rPr>
              <w:t>高階主管一鍵檢視全案 25 項專案即時進度與健康度。</w:t>
            </w:r>
          </w:p>
        </w:tc>
      </w:tr>
      <w:tr>
        <w:tc>
          <w:tcPr>
            <w:tcW w:type="dxa" w:w="2592"/>
            <w:shd w:fill="FAFAF9"/>
            <w:tcMar>
              <w:top w:w="60" w:type="dxa"/>
              <w:bottom w:w="60" w:type="dxa"/>
              <w:left w:w="100" w:type="dxa"/>
              <w:right w:w="100" w:type="dxa"/>
            </w:tcMar>
          </w:tcPr>
          <w:p>
            <w:r>
              <w:rPr>
                <w:rFonts w:ascii="Arial" w:hAnsi="Arial"/>
                <w:color w:val="1C1917"/>
                <w:sz w:val="16"/>
              </w:rPr>
              <w:t>2. 任務與工時庫</w:t>
              <w:br/>
              <w:t>(Sprint Tasks &amp; Timesheet)</w:t>
            </w:r>
          </w:p>
        </w:tc>
        <w:tc>
          <w:tcPr>
            <w:tcW w:type="dxa" w:w="3168"/>
            <w:shd w:fill="FAFAF9"/>
            <w:tcMar>
              <w:top w:w="60" w:type="dxa"/>
              <w:bottom w:w="60" w:type="dxa"/>
              <w:left w:w="100" w:type="dxa"/>
              <w:right w:w="100" w:type="dxa"/>
            </w:tcMar>
          </w:tcPr>
          <w:p>
            <w:r>
              <w:rPr>
                <w:rFonts w:ascii="Arial" w:hAnsi="Arial"/>
                <w:color w:val="1C1917"/>
                <w:sz w:val="16"/>
              </w:rPr>
              <w:t>任務名稱、指派人 (16人)、預估SAM、</w:t>
              <w:br/>
              <w:t>實際工時、狀態看板、關聯GitLab MR</w:t>
            </w:r>
          </w:p>
        </w:tc>
        <w:tc>
          <w:tcPr>
            <w:tcW w:type="dxa" w:w="2592"/>
            <w:shd w:fill="FAFAF9"/>
            <w:tcMar>
              <w:top w:w="60" w:type="dxa"/>
              <w:bottom w:w="60" w:type="dxa"/>
              <w:left w:w="100" w:type="dxa"/>
              <w:right w:w="100" w:type="dxa"/>
            </w:tcMar>
          </w:tcPr>
          <w:p>
            <w:r>
              <w:rPr>
                <w:rFonts w:ascii="Arial" w:hAnsi="Arial"/>
                <w:color w:val="1C1917"/>
                <w:sz w:val="16"/>
              </w:rPr>
              <w:t>取代 Wrike 工時填報與個人任務列表清單。</w:t>
            </w:r>
          </w:p>
        </w:tc>
        <w:tc>
          <w:tcPr>
            <w:tcW w:type="dxa" w:w="2016"/>
            <w:shd w:fill="FAFAF9"/>
            <w:tcMar>
              <w:top w:w="60" w:type="dxa"/>
              <w:bottom w:w="60" w:type="dxa"/>
              <w:left w:w="100" w:type="dxa"/>
              <w:right w:w="100" w:type="dxa"/>
            </w:tcMar>
          </w:tcPr>
          <w:p>
            <w:r>
              <w:rPr>
                <w:rFonts w:ascii="Arial" w:hAnsi="Arial"/>
                <w:color w:val="1C1917"/>
                <w:sz w:val="16"/>
              </w:rPr>
              <w:t>精準統計每位工程師各週交付量，自動關聯代碼提交紀錄。</w:t>
            </w:r>
          </w:p>
        </w:tc>
      </w:tr>
      <w:tr>
        <w:tc>
          <w:tcPr>
            <w:tcW w:type="dxa" w:w="2592"/>
            <w:shd w:fill="FFFFFF"/>
            <w:tcMar>
              <w:top w:w="60" w:type="dxa"/>
              <w:bottom w:w="60" w:type="dxa"/>
              <w:left w:w="100" w:type="dxa"/>
              <w:right w:w="100" w:type="dxa"/>
            </w:tcMar>
          </w:tcPr>
          <w:p>
            <w:r>
              <w:rPr>
                <w:rFonts w:ascii="Arial" w:hAnsi="Arial"/>
                <w:color w:val="1C1917"/>
                <w:sz w:val="16"/>
              </w:rPr>
              <w:t>3. 架構與技術百科</w:t>
              <w:br/>
              <w:t>(Architecture Wiki DB)</w:t>
            </w:r>
          </w:p>
        </w:tc>
        <w:tc>
          <w:tcPr>
            <w:tcW w:type="dxa" w:w="3168"/>
            <w:shd w:fill="FFFFFF"/>
            <w:tcMar>
              <w:top w:w="60" w:type="dxa"/>
              <w:bottom w:w="60" w:type="dxa"/>
              <w:left w:w="100" w:type="dxa"/>
              <w:right w:w="100" w:type="dxa"/>
            </w:tcMar>
          </w:tcPr>
          <w:p>
            <w:r>
              <w:rPr>
                <w:rFonts w:ascii="Arial" w:hAnsi="Arial"/>
                <w:color w:val="1C1917"/>
                <w:sz w:val="16"/>
              </w:rPr>
              <w:t>系統別、架構圖資、API規範、</w:t>
              <w:br/>
              <w:t>Review規程、會議紀錄、資安手冊</w:t>
            </w:r>
          </w:p>
        </w:tc>
        <w:tc>
          <w:tcPr>
            <w:tcW w:type="dxa" w:w="2592"/>
            <w:shd w:fill="FFFFFF"/>
            <w:tcMar>
              <w:top w:w="60" w:type="dxa"/>
              <w:bottom w:w="60" w:type="dxa"/>
              <w:left w:w="100" w:type="dxa"/>
              <w:right w:w="100" w:type="dxa"/>
            </w:tcMar>
          </w:tcPr>
          <w:p>
            <w:r>
              <w:rPr>
                <w:rFonts w:ascii="Arial" w:hAnsi="Arial"/>
                <w:color w:val="1C1917"/>
                <w:sz w:val="16"/>
              </w:rPr>
              <w:t>Wrike 無法支援的 Markdown 富文本與代碼塊文檔庫。</w:t>
            </w:r>
          </w:p>
        </w:tc>
        <w:tc>
          <w:tcPr>
            <w:tcW w:type="dxa" w:w="2016"/>
            <w:shd w:fill="FFFFFF"/>
            <w:tcMar>
              <w:top w:w="60" w:type="dxa"/>
              <w:bottom w:w="60" w:type="dxa"/>
              <w:left w:w="100" w:type="dxa"/>
              <w:right w:w="100" w:type="dxa"/>
            </w:tcMar>
          </w:tcPr>
          <w:p>
            <w:r>
              <w:rPr>
                <w:rFonts w:ascii="Arial" w:hAnsi="Arial"/>
                <w:color w:val="1C1917"/>
                <w:sz w:val="16"/>
              </w:rPr>
              <w:t>消滅工程師離職造成的經驗流失，作為未來 RAG 知識庫基座。</w:t>
            </w:r>
          </w:p>
        </w:tc>
      </w:tr>
    </w:tbl>
    <w:p>
      <w:pPr>
        <w:spacing w:after="80"/>
      </w:pPr>
    </w:p>
    <w:p>
      <w:r>
        <w:br w:type="page"/>
      </w:r>
    </w:p>
    <w:p>
      <w:pPr>
        <w:spacing w:before="160" w:after="80"/>
      </w:pPr>
      <w:r>
        <w:rPr>
          <w:rFonts w:ascii="Arial" w:hAnsi="Arial"/>
          <w:b/>
          <w:color w:val="D97706"/>
          <w:sz w:val="22"/>
        </w:rPr>
        <w:t xml:space="preserve">【第三章：版控治理】 </w:t>
      </w:r>
      <w:r>
        <w:rPr>
          <w:rFonts w:ascii="Arial" w:hAnsi="Arial"/>
          <w:b/>
          <w:color w:val="A83212"/>
          <w:sz w:val="30"/>
        </w:rPr>
        <w:t>3.3 程式碼版控收斂：Wrike 10 人專案全數整併至集團 GitLab</w:t>
      </w:r>
    </w:p>
    <w:p>
      <w:pPr>
        <w:spacing w:before="0" w:after="200"/>
      </w:pPr>
      <w:r>
        <w:rPr>
          <w:rFonts w:ascii="Arial" w:hAnsi="Arial"/>
          <w:i/>
          <w:color w:val="78716C"/>
          <w:sz w:val="19"/>
        </w:rPr>
        <w:t>SCM Unification · Migrating 10-Dev Repositories to Enterprise GitLab</w:t>
      </w:r>
    </w:p>
    <w:p>
      <w:pPr>
        <w:spacing w:before="0" w:after="120" w:line="276" w:lineRule="auto"/>
      </w:pPr>
      <w:r>
        <w:rPr>
          <w:rFonts w:ascii="Arial" w:hAnsi="Arial"/>
          <w:color w:val="1C1917"/>
          <w:sz w:val="19"/>
        </w:rPr>
        <w:t>在 SCM 程式碼版控層面，第一階段確立將 Wrike 團隊 10 位同仁分散管理的獨立 Git 專案庫，全數安全遷移合併至**集團統一的 GitLab 伺服器**。此項遷移由顧問團隊指導，遵循五大標準遷移步驟（SOP）：</w:t>
      </w:r>
    </w:p>
    <w:p>
      <w:pPr>
        <w:pStyle w:val="ListBullet"/>
        <w:spacing w:before="0" w:after="60" w:line="269" w:lineRule="auto"/>
      </w:pPr>
      <w:r>
        <w:rPr>
          <w:rFonts w:ascii="Arial" w:hAnsi="Arial"/>
          <w:b/>
          <w:color w:val="1C1917"/>
          <w:sz w:val="18"/>
        </w:rPr>
        <w:t>1. 歷史無損匯出：</w:t>
      </w:r>
      <w:r>
        <w:rPr>
          <w:rFonts w:ascii="Arial" w:hAnsi="Arial"/>
          <w:color w:val="1C1917"/>
          <w:sz w:val="18"/>
        </w:rPr>
        <w:t>完整匯出既有 Git 庫之所有提交歷史（Commit History）、標籤（Tags）與分支，嚴禁破壞歷史版本紀錄。</w:t>
      </w:r>
    </w:p>
    <w:p>
      <w:pPr>
        <w:pStyle w:val="ListBullet"/>
        <w:spacing w:before="0" w:after="60" w:line="269" w:lineRule="auto"/>
      </w:pPr>
      <w:r>
        <w:rPr>
          <w:rFonts w:ascii="Arial" w:hAnsi="Arial"/>
          <w:b/>
          <w:color w:val="1C1917"/>
          <w:sz w:val="18"/>
        </w:rPr>
        <w:t>2. 敏感資訊洗淨：</w:t>
      </w:r>
      <w:r>
        <w:rPr>
          <w:rFonts w:ascii="Arial" w:hAnsi="Arial"/>
          <w:color w:val="1C1917"/>
          <w:sz w:val="18"/>
        </w:rPr>
        <w:t>全面清查舊代碼中是否包含寫死之連線字串、API Key 或密碼（Secret），在遷移匯入前以 `git-filter-repo` 徹底脫敏抹除。</w:t>
      </w:r>
    </w:p>
    <w:p>
      <w:pPr>
        <w:pStyle w:val="ListBullet"/>
        <w:spacing w:before="0" w:after="60" w:line="269" w:lineRule="auto"/>
      </w:pPr>
      <w:r>
        <w:rPr>
          <w:rFonts w:ascii="Arial" w:hAnsi="Arial"/>
          <w:b/>
          <w:color w:val="1C1917"/>
          <w:sz w:val="18"/>
        </w:rPr>
        <w:t>3. 組織群組正規化：</w:t>
      </w:r>
      <w:r>
        <w:rPr>
          <w:rFonts w:ascii="Arial" w:hAnsi="Arial"/>
          <w:color w:val="1C1917"/>
          <w:sz w:val="18"/>
        </w:rPr>
        <w:t>在集團 GitLab 建立標準命名群組（Groups）：`rsi-erp-d365`、`rsi-mes-cqs`、`rsi-logistics`，對齊組織結構。</w:t>
      </w:r>
    </w:p>
    <w:p>
      <w:pPr>
        <w:pStyle w:val="ListBullet"/>
        <w:spacing w:before="0" w:after="60" w:line="269" w:lineRule="auto"/>
      </w:pPr>
      <w:r>
        <w:rPr>
          <w:rFonts w:ascii="Arial" w:hAnsi="Arial"/>
          <w:b/>
          <w:color w:val="1C1917"/>
          <w:sz w:val="18"/>
        </w:rPr>
        <w:t>4. 網域帳號 SSO 整合：</w:t>
      </w:r>
      <w:r>
        <w:rPr>
          <w:rFonts w:ascii="Arial" w:hAnsi="Arial"/>
          <w:color w:val="1C1917"/>
          <w:sz w:val="18"/>
        </w:rPr>
        <w:t>將 GitLab 帳號全面整合總部 Windows Server Active Directory (AD / LDAP)，啟用單一登入（SSO）與離職自動停權。</w:t>
      </w:r>
    </w:p>
    <w:p>
      <w:pPr>
        <w:pStyle w:val="ListBullet"/>
        <w:spacing w:before="0" w:after="60" w:line="269" w:lineRule="auto"/>
      </w:pPr>
      <w:r>
        <w:rPr>
          <w:rFonts w:ascii="Arial" w:hAnsi="Arial"/>
          <w:b/>
          <w:color w:val="1C1917"/>
          <w:sz w:val="18"/>
        </w:rPr>
        <w:t>5. 分支保護鎖定：</w:t>
      </w:r>
      <w:r>
        <w:rPr>
          <w:rFonts w:ascii="Arial" w:hAnsi="Arial"/>
          <w:color w:val="1C1917"/>
          <w:sz w:val="18"/>
        </w:rPr>
        <w:t>對所有遷移之核心專案開啟 GitLab 剛性分支保護規則，封鎖直接 Push main 分支特權。</w:t>
      </w:r>
    </w:p>
    <w:p>
      <w:r>
        <w:br w:type="page"/>
      </w:r>
    </w:p>
    <w:p>
      <w:pPr>
        <w:spacing w:before="160" w:after="80"/>
      </w:pPr>
      <w:r>
        <w:rPr>
          <w:rFonts w:ascii="Arial" w:hAnsi="Arial"/>
          <w:b/>
          <w:color w:val="D97706"/>
          <w:sz w:val="22"/>
        </w:rPr>
        <w:t xml:space="preserve">【第三章：版控治理】 </w:t>
      </w:r>
      <w:r>
        <w:rPr>
          <w:rFonts w:ascii="Arial" w:hAnsi="Arial"/>
          <w:b/>
          <w:color w:val="A83212"/>
          <w:sz w:val="30"/>
        </w:rPr>
        <w:t>3.4 統一開發工具鏈：Visual Studio 2022 與 VS Code 標準外掛配置</w:t>
      </w:r>
    </w:p>
    <w:p>
      <w:pPr>
        <w:spacing w:before="0" w:after="200"/>
      </w:pPr>
      <w:r>
        <w:rPr>
          <w:rFonts w:ascii="Arial" w:hAnsi="Arial"/>
          <w:i/>
          <w:color w:val="78716C"/>
          <w:sz w:val="19"/>
        </w:rPr>
        <w:t>IDE Standardization · Visual Studio 2022 &amp; VS Code Extension Baseline</w:t>
      </w:r>
    </w:p>
    <w:p>
      <w:pPr>
        <w:spacing w:before="0" w:after="120" w:line="276" w:lineRule="auto"/>
      </w:pPr>
      <w:r>
        <w:rPr>
          <w:rFonts w:ascii="Arial" w:hAnsi="Arial"/>
          <w:color w:val="1C1917"/>
          <w:sz w:val="19"/>
        </w:rPr>
        <w:t>信源 16 位工程師團隊的日常開發工具已高度聚焦於 **Visual Studio 2022** 與 **Visual Studio Code (VS Code)**。為確保每位同仁撰寫出的程式碼風格一致、並具備自動化資安弱點檢查能力，顧問團隊制定了集團開發工具鏈標準 Baseline：</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開發工具</w:t>
            </w:r>
          </w:p>
        </w:tc>
        <w:tc>
          <w:tcPr>
            <w:tcW w:type="dxa" w:w="2592"/>
            <w:shd w:fill="F5EFEB"/>
            <w:tcMar>
              <w:top w:w="80" w:type="dxa"/>
              <w:bottom w:w="80" w:type="dxa"/>
              <w:left w:w="100" w:type="dxa"/>
              <w:right w:w="100" w:type="dxa"/>
            </w:tcMar>
          </w:tcPr>
          <w:p>
            <w:r>
              <w:rPr>
                <w:rFonts w:ascii="Arial" w:hAnsi="Arial"/>
                <w:b/>
                <w:color w:val="A83212"/>
                <w:sz w:val="17"/>
              </w:rPr>
              <w:t>目標適用同仁與系統</w:t>
            </w:r>
          </w:p>
        </w:tc>
        <w:tc>
          <w:tcPr>
            <w:tcW w:type="dxa" w:w="3168"/>
            <w:shd w:fill="F5EFEB"/>
            <w:tcMar>
              <w:top w:w="80" w:type="dxa"/>
              <w:bottom w:w="80" w:type="dxa"/>
              <w:left w:w="100" w:type="dxa"/>
              <w:right w:w="100" w:type="dxa"/>
            </w:tcMar>
          </w:tcPr>
          <w:p>
            <w:r>
              <w:rPr>
                <w:rFonts w:ascii="Arial" w:hAnsi="Arial"/>
                <w:b/>
                <w:color w:val="A83212"/>
                <w:sz w:val="17"/>
              </w:rPr>
              <w:t>必備標準外掛與配置 (Extensions)</w:t>
            </w:r>
          </w:p>
        </w:tc>
        <w:tc>
          <w:tcPr>
            <w:tcW w:type="dxa" w:w="2016"/>
            <w:shd w:fill="F5EFEB"/>
            <w:tcMar>
              <w:top w:w="80" w:type="dxa"/>
              <w:bottom w:w="80" w:type="dxa"/>
              <w:left w:w="100" w:type="dxa"/>
              <w:right w:w="100" w:type="dxa"/>
            </w:tcMar>
          </w:tcPr>
          <w:p>
            <w:r>
              <w:rPr>
                <w:rFonts w:ascii="Arial" w:hAnsi="Arial"/>
                <w:b/>
                <w:color w:val="A83212"/>
                <w:sz w:val="17"/>
              </w:rPr>
              <w:t>強制性編程規範</w:t>
            </w:r>
          </w:p>
        </w:tc>
      </w:tr>
      <w:tr>
        <w:tc>
          <w:tcPr>
            <w:tcW w:type="dxa" w:w="2592"/>
            <w:shd w:fill="FFFFFF"/>
            <w:tcMar>
              <w:top w:w="60" w:type="dxa"/>
              <w:bottom w:w="60" w:type="dxa"/>
              <w:left w:w="100" w:type="dxa"/>
              <w:right w:w="100" w:type="dxa"/>
            </w:tcMar>
          </w:tcPr>
          <w:p>
            <w:r>
              <w:rPr>
                <w:rFonts w:ascii="Arial" w:hAnsi="Arial"/>
                <w:color w:val="1C1917"/>
                <w:sz w:val="16"/>
              </w:rPr>
              <w:t>Visual Studio 2022</w:t>
              <w:br/>
              <w:t>(企業/專業版)</w:t>
            </w:r>
          </w:p>
        </w:tc>
        <w:tc>
          <w:tcPr>
            <w:tcW w:type="dxa" w:w="2592"/>
            <w:shd w:fill="FFFFFF"/>
            <w:tcMar>
              <w:top w:w="60" w:type="dxa"/>
              <w:bottom w:w="60" w:type="dxa"/>
              <w:left w:w="100" w:type="dxa"/>
              <w:right w:w="100" w:type="dxa"/>
            </w:tcMar>
          </w:tcPr>
          <w:p>
            <w:r>
              <w:rPr>
                <w:rFonts w:ascii="Arial" w:hAnsi="Arial"/>
                <w:color w:val="1C1917"/>
                <w:sz w:val="16"/>
              </w:rPr>
              <w:t>• D365 F&amp;O (X++) 團隊</w:t>
              <w:br/>
              <w:t>• C# .NET 8 / 4.8 後端工程師</w:t>
            </w:r>
          </w:p>
        </w:tc>
        <w:tc>
          <w:tcPr>
            <w:tcW w:type="dxa" w:w="3168"/>
            <w:shd w:fill="FFFFFF"/>
            <w:tcMar>
              <w:top w:w="60" w:type="dxa"/>
              <w:bottom w:w="60" w:type="dxa"/>
              <w:left w:w="100" w:type="dxa"/>
              <w:right w:w="100" w:type="dxa"/>
            </w:tcMar>
          </w:tcPr>
          <w:p>
            <w:r>
              <w:rPr>
                <w:rFonts w:ascii="Arial" w:hAnsi="Arial"/>
                <w:color w:val="1C1917"/>
                <w:sz w:val="16"/>
              </w:rPr>
              <w:t>• Roslynator (.NET 代碼分析器)</w:t>
              <w:br/>
              <w:t>• SonarLint (即時資安與弱點掃描)</w:t>
              <w:br/>
              <w:t>• xUnit Test Runner</w:t>
            </w:r>
          </w:p>
        </w:tc>
        <w:tc>
          <w:tcPr>
            <w:tcW w:type="dxa" w:w="2016"/>
            <w:shd w:fill="FFFFFF"/>
            <w:tcMar>
              <w:top w:w="60" w:type="dxa"/>
              <w:bottom w:w="60" w:type="dxa"/>
              <w:left w:w="100" w:type="dxa"/>
              <w:right w:w="100" w:type="dxa"/>
            </w:tcMar>
          </w:tcPr>
          <w:p>
            <w:r>
              <w:rPr>
                <w:rFonts w:ascii="Arial" w:hAnsi="Arial"/>
                <w:color w:val="1C1917"/>
                <w:sz w:val="16"/>
              </w:rPr>
              <w:t>• 啟用 C# 12 嚴格 Nullable 檢查</w:t>
              <w:br/>
              <w:t>• 啟用 EditorConfig 統一縮排與命名</w:t>
              <w:br/>
              <w:t>• 嚴禁在代碼中拼接 SQL 字串</w:t>
            </w:r>
          </w:p>
        </w:tc>
      </w:tr>
      <w:tr>
        <w:tc>
          <w:tcPr>
            <w:tcW w:type="dxa" w:w="2592"/>
            <w:shd w:fill="FAFAF9"/>
            <w:tcMar>
              <w:top w:w="60" w:type="dxa"/>
              <w:bottom w:w="60" w:type="dxa"/>
              <w:left w:w="100" w:type="dxa"/>
              <w:right w:w="100" w:type="dxa"/>
            </w:tcMar>
          </w:tcPr>
          <w:p>
            <w:r>
              <w:rPr>
                <w:rFonts w:ascii="Arial" w:hAnsi="Arial"/>
                <w:color w:val="1C1917"/>
                <w:sz w:val="16"/>
              </w:rPr>
              <w:t>Visual Studio Code</w:t>
              <w:br/>
              <w:t>(跨平台輕量端)</w:t>
            </w:r>
          </w:p>
        </w:tc>
        <w:tc>
          <w:tcPr>
            <w:tcW w:type="dxa" w:w="2592"/>
            <w:shd w:fill="FAFAF9"/>
            <w:tcMar>
              <w:top w:w="60" w:type="dxa"/>
              <w:bottom w:w="60" w:type="dxa"/>
              <w:left w:w="100" w:type="dxa"/>
              <w:right w:w="100" w:type="dxa"/>
            </w:tcMar>
          </w:tcPr>
          <w:p>
            <w:r>
              <w:rPr>
                <w:rFonts w:ascii="Arial" w:hAnsi="Arial"/>
                <w:color w:val="1C1917"/>
                <w:sz w:val="16"/>
              </w:rPr>
              <w:t>• 前端工程師 (Vue 3 / TS)</w:t>
              <w:br/>
              <w:t>• 數據與腳本工程師 (Python/SQL)</w:t>
            </w:r>
          </w:p>
        </w:tc>
        <w:tc>
          <w:tcPr>
            <w:tcW w:type="dxa" w:w="3168"/>
            <w:shd w:fill="FAFAF9"/>
            <w:tcMar>
              <w:top w:w="60" w:type="dxa"/>
              <w:bottom w:w="60" w:type="dxa"/>
              <w:left w:w="100" w:type="dxa"/>
              <w:right w:w="100" w:type="dxa"/>
            </w:tcMar>
          </w:tcPr>
          <w:p>
            <w:r>
              <w:rPr>
                <w:rFonts w:ascii="Arial" w:hAnsi="Arial"/>
                <w:color w:val="1C1917"/>
                <w:sz w:val="16"/>
              </w:rPr>
              <w:t>• Vue - Official (Volar)</w:t>
              <w:br/>
              <w:t>• ESLint ＋ Prettier</w:t>
              <w:br/>
              <w:t>• GitLens ＋ GitLab Workflow</w:t>
              <w:br/>
              <w:t>• Even Better TOML / REST Client</w:t>
            </w:r>
          </w:p>
        </w:tc>
        <w:tc>
          <w:tcPr>
            <w:tcW w:type="dxa" w:w="2016"/>
            <w:shd w:fill="FAFAF9"/>
            <w:tcMar>
              <w:top w:w="60" w:type="dxa"/>
              <w:bottom w:w="60" w:type="dxa"/>
              <w:left w:w="100" w:type="dxa"/>
              <w:right w:w="100" w:type="dxa"/>
            </w:tcMar>
          </w:tcPr>
          <w:p>
            <w:r>
              <w:rPr>
                <w:rFonts w:ascii="Arial" w:hAnsi="Arial"/>
                <w:color w:val="1C1917"/>
                <w:sz w:val="16"/>
              </w:rPr>
              <w:t>• 強制 TypeScript 嚴格模式 (strict: true)</w:t>
              <w:br/>
              <w:t>• 提交前自動執行 Prettier 格式化</w:t>
              <w:br/>
              <w:t>• 每個 Commit 必須帶有標準 Type 標籤</w:t>
            </w:r>
          </w:p>
        </w:tc>
      </w:tr>
    </w:tbl>
    <w:p>
      <w:pPr>
        <w:spacing w:after="80"/>
      </w:pPr>
    </w:p>
    <w:p>
      <w:r>
        <w:br w:type="page"/>
      </w:r>
    </w:p>
    <w:p>
      <w:pPr>
        <w:spacing w:before="160" w:after="80"/>
      </w:pPr>
      <w:r>
        <w:rPr>
          <w:rFonts w:ascii="Arial" w:hAnsi="Arial"/>
          <w:b/>
          <w:color w:val="D97706"/>
          <w:sz w:val="22"/>
        </w:rPr>
        <w:t xml:space="preserve">【第三章：版控治理】 </w:t>
      </w:r>
      <w:r>
        <w:rPr>
          <w:rFonts w:ascii="Arial" w:hAnsi="Arial"/>
          <w:b/>
          <w:color w:val="A83212"/>
          <w:sz w:val="30"/>
        </w:rPr>
        <w:t>3.5 剛性分支保護策略與 main 主幹分支鎖定機制</w:t>
      </w:r>
    </w:p>
    <w:p>
      <w:pPr>
        <w:spacing w:before="0" w:after="200"/>
      </w:pPr>
      <w:r>
        <w:rPr>
          <w:rFonts w:ascii="Arial" w:hAnsi="Arial"/>
          <w:i/>
          <w:color w:val="78716C"/>
          <w:sz w:val="19"/>
        </w:rPr>
        <w:t>Branching Strategy · Trunk Protection &amp; Zero-Direct-Push Policy</w:t>
      </w:r>
    </w:p>
    <w:p>
      <w:pPr>
        <w:spacing w:before="0" w:after="120" w:line="276" w:lineRule="auto"/>
      </w:pPr>
      <w:r>
        <w:rPr>
          <w:rFonts w:ascii="Arial" w:hAnsi="Arial"/>
          <w:color w:val="1C1917"/>
          <w:sz w:val="19"/>
        </w:rPr>
        <w:t>過去部分工程師習慣直接在 `master` 或 `main` 分支上直接修改並 Push 代碼，這種『隨興編程』是造成線上系統改 A 壞 B、且發生事故時無法究責的根源。第一階段在 GitLab 建立了全集團剛性的分支保護策略（Branch Protection Policy）：</w:t>
      </w:r>
    </w:p>
    <w:p>
      <w:pPr>
        <w:pStyle w:val="ListBullet"/>
        <w:spacing w:before="0" w:after="60" w:line="269" w:lineRule="auto"/>
      </w:pPr>
      <w:r>
        <w:rPr>
          <w:rFonts w:ascii="Arial" w:hAnsi="Arial"/>
          <w:b/>
          <w:color w:val="1C1917"/>
          <w:sz w:val="18"/>
        </w:rPr>
        <w:t>1. 絕對鎖定 main 主幹：</w:t>
      </w:r>
      <w:r>
        <w:rPr>
          <w:rFonts w:ascii="Arial" w:hAnsi="Arial"/>
          <w:color w:val="1C1917"/>
          <w:sz w:val="18"/>
        </w:rPr>
        <w:t>嚴格禁止任何人（包含資訊主管與資深架構師）直接執行 `git push origin main`！main 分支設定為 Protected，只接受通過測試後的 Merge Request 合併。</w:t>
      </w:r>
    </w:p>
    <w:p>
      <w:pPr>
        <w:pStyle w:val="ListBullet"/>
        <w:spacing w:before="0" w:after="60" w:line="269" w:lineRule="auto"/>
      </w:pPr>
      <w:r>
        <w:rPr>
          <w:rFonts w:ascii="Arial" w:hAnsi="Arial"/>
          <w:b/>
          <w:color w:val="1C1917"/>
          <w:sz w:val="18"/>
        </w:rPr>
        <w:t>2. 功能分支命名規範：</w:t>
      </w:r>
      <w:r>
        <w:rPr>
          <w:rFonts w:ascii="Arial" w:hAnsi="Arial"/>
          <w:color w:val="1C1917"/>
          <w:sz w:val="18"/>
        </w:rPr>
        <w:t>所有功能開發一律由 main 分支拉出 `feat/feature-name`，修復錯誤由 main 拉出 `fix/bug-name`。禁止在功能分支長期堆積代碼，生命週期不超過 2 個 Sprint。</w:t>
      </w:r>
    </w:p>
    <w:p>
      <w:pPr>
        <w:pStyle w:val="ListBullet"/>
        <w:spacing w:before="0" w:after="60" w:line="269" w:lineRule="auto"/>
      </w:pPr>
      <w:r>
        <w:rPr>
          <w:rFonts w:ascii="Arial" w:hAnsi="Arial"/>
          <w:b/>
          <w:color w:val="1C1917"/>
          <w:sz w:val="18"/>
        </w:rPr>
        <w:t>3. 票券雙向綁定：</w:t>
      </w:r>
      <w:r>
        <w:rPr>
          <w:rFonts w:ascii="Arial" w:hAnsi="Arial"/>
          <w:color w:val="1C1917"/>
          <w:sz w:val="18"/>
        </w:rPr>
        <w:t>每次送出 MR 時，必須關聯 Notion 的任務票券 ID（例如：`feat(cqs): close #TK-1024 裁片條碼防呆`），使代碼交付與業務任務 100% 雙向聯動。</w:t>
      </w:r>
    </w:p>
    <w:p>
      <w:pPr>
        <w:pStyle w:val="ListBullet"/>
        <w:spacing w:before="0" w:after="60" w:line="269" w:lineRule="auto"/>
      </w:pPr>
      <w:r>
        <w:rPr>
          <w:rFonts w:ascii="Arial" w:hAnsi="Arial"/>
          <w:b/>
          <w:color w:val="1C1917"/>
          <w:sz w:val="18"/>
        </w:rPr>
        <w:t>4. 自動化初步阻斷：</w:t>
      </w:r>
      <w:r>
        <w:rPr>
          <w:rFonts w:ascii="Arial" w:hAnsi="Arial"/>
          <w:color w:val="1C1917"/>
          <w:sz w:val="18"/>
        </w:rPr>
        <w:t>GitLab 收到 MR 時自動觸發輕量編譯與單元測試，若編譯失敗或測試未通過，系統直接硬性阻擋合併按鈕。</w:t>
      </w:r>
    </w:p>
    <w:p>
      <w:r>
        <w:br w:type="page"/>
      </w:r>
    </w:p>
    <w:p>
      <w:pPr>
        <w:spacing w:before="160" w:after="80"/>
      </w:pPr>
      <w:r>
        <w:rPr>
          <w:rFonts w:ascii="Arial" w:hAnsi="Arial"/>
          <w:b/>
          <w:color w:val="D97706"/>
          <w:sz w:val="22"/>
        </w:rPr>
        <w:t xml:space="preserve">【第三章：版控治理】 </w:t>
      </w:r>
      <w:r>
        <w:rPr>
          <w:rFonts w:ascii="Arial" w:hAnsi="Arial"/>
          <w:b/>
          <w:color w:val="A83212"/>
          <w:sz w:val="30"/>
        </w:rPr>
        <w:t>3.6 Merge Request 具名審查程序與 Review Matrix 風險分級</w:t>
      </w:r>
    </w:p>
    <w:p>
      <w:pPr>
        <w:spacing w:before="0" w:after="200"/>
      </w:pPr>
      <w:r>
        <w:rPr>
          <w:rFonts w:ascii="Arial" w:hAnsi="Arial"/>
          <w:i/>
          <w:color w:val="78716C"/>
          <w:sz w:val="19"/>
        </w:rPr>
        <w:t>Peer Code Review Protocol · Risk-Based Review Matrix &amp; Approval Gates</w:t>
      </w:r>
    </w:p>
    <w:p>
      <w:pPr>
        <w:spacing w:before="0" w:after="120" w:line="276" w:lineRule="auto"/>
      </w:pPr>
      <w:r>
        <w:rPr>
          <w:rFonts w:ascii="Arial" w:hAnsi="Arial"/>
          <w:color w:val="1C1917"/>
          <w:sz w:val="19"/>
        </w:rPr>
        <w:t>為平衡『程式品質嚴謹把關』與『避免審查負擔壓垮資深人員』，顧問團隊設計了依業務風險分級的『Code Review 矩陣（Review Matrix）』。並非所有代碼修改都需要主管逐行審查，而是依風險高低實施差異化核決：</w:t>
      </w:r>
    </w:p>
    <w:tbl>
      <w:tblPr>
        <w:tblW w:type="auto" w:w="0"/>
        <w:jc w:val="center"/>
        <w:tblLook w:firstColumn="1" w:firstRow="1" w:lastColumn="0" w:lastRow="0" w:noHBand="0" w:noVBand="1" w:val="04A0"/>
      </w:tblPr>
      <w:tblGrid>
        <w:gridCol w:w="2412"/>
        <w:gridCol w:w="2412"/>
        <w:gridCol w:w="2412"/>
        <w:gridCol w:w="2412"/>
      </w:tblGrid>
      <w:tr>
        <w:tc>
          <w:tcPr>
            <w:tcW w:type="dxa" w:w="2016"/>
            <w:shd w:fill="F5EFEB"/>
            <w:tcMar>
              <w:top w:w="80" w:type="dxa"/>
              <w:bottom w:w="80" w:type="dxa"/>
              <w:left w:w="100" w:type="dxa"/>
              <w:right w:w="100" w:type="dxa"/>
            </w:tcMar>
          </w:tcPr>
          <w:p>
            <w:r>
              <w:rPr>
                <w:rFonts w:ascii="Arial" w:hAnsi="Arial"/>
                <w:b/>
                <w:color w:val="A83212"/>
                <w:sz w:val="17"/>
              </w:rPr>
              <w:t>風險等級</w:t>
            </w:r>
          </w:p>
        </w:tc>
        <w:tc>
          <w:tcPr>
            <w:tcW w:type="dxa" w:w="3168"/>
            <w:shd w:fill="F5EFEB"/>
            <w:tcMar>
              <w:top w:w="80" w:type="dxa"/>
              <w:bottom w:w="80" w:type="dxa"/>
              <w:left w:w="100" w:type="dxa"/>
              <w:right w:w="100" w:type="dxa"/>
            </w:tcMar>
          </w:tcPr>
          <w:p>
            <w:r>
              <w:rPr>
                <w:rFonts w:ascii="Arial" w:hAnsi="Arial"/>
                <w:b/>
                <w:color w:val="A83212"/>
                <w:sz w:val="17"/>
              </w:rPr>
              <w:t>適用代碼變更範圍</w:t>
            </w:r>
          </w:p>
        </w:tc>
        <w:tc>
          <w:tcPr>
            <w:tcW w:type="dxa" w:w="2880"/>
            <w:shd w:fill="F5EFEB"/>
            <w:tcMar>
              <w:top w:w="80" w:type="dxa"/>
              <w:bottom w:w="80" w:type="dxa"/>
              <w:left w:w="100" w:type="dxa"/>
              <w:right w:w="100" w:type="dxa"/>
            </w:tcMar>
          </w:tcPr>
          <w:p>
            <w:r>
              <w:rPr>
                <w:rFonts w:ascii="Arial" w:hAnsi="Arial"/>
                <w:b/>
                <w:color w:val="A83212"/>
                <w:sz w:val="17"/>
              </w:rPr>
              <w:t>審核門檻與核決人員 (Approval Gate)</w:t>
            </w:r>
          </w:p>
        </w:tc>
        <w:tc>
          <w:tcPr>
            <w:tcW w:type="dxa" w:w="2304"/>
            <w:shd w:fill="F5EFEB"/>
            <w:tcMar>
              <w:top w:w="80" w:type="dxa"/>
              <w:bottom w:w="80" w:type="dxa"/>
              <w:left w:w="100" w:type="dxa"/>
              <w:right w:w="100" w:type="dxa"/>
            </w:tcMar>
          </w:tcPr>
          <w:p>
            <w:r>
              <w:rPr>
                <w:rFonts w:ascii="Arial" w:hAnsi="Arial"/>
                <w:b/>
                <w:color w:val="A83212"/>
                <w:sz w:val="17"/>
              </w:rPr>
              <w:t>必要之附隨證據 (Audit Artifacts)</w:t>
            </w:r>
          </w:p>
        </w:tc>
      </w:tr>
      <w:tr>
        <w:tc>
          <w:tcPr>
            <w:tcW w:type="dxa" w:w="2016"/>
            <w:shd w:fill="FFFFFF"/>
            <w:tcMar>
              <w:top w:w="60" w:type="dxa"/>
              <w:bottom w:w="60" w:type="dxa"/>
              <w:left w:w="100" w:type="dxa"/>
              <w:right w:w="100" w:type="dxa"/>
            </w:tcMar>
          </w:tcPr>
          <w:p>
            <w:r>
              <w:rPr>
                <w:rFonts w:ascii="Arial" w:hAnsi="Arial"/>
                <w:color w:val="1C1917"/>
                <w:sz w:val="16"/>
              </w:rPr>
              <w:t>L1 低風險</w:t>
              <w:br/>
              <w:t>(Low Risk)</w:t>
            </w:r>
          </w:p>
        </w:tc>
        <w:tc>
          <w:tcPr>
            <w:tcW w:type="dxa" w:w="3168"/>
            <w:shd w:fill="FFFFFF"/>
            <w:tcMar>
              <w:top w:w="60" w:type="dxa"/>
              <w:bottom w:w="60" w:type="dxa"/>
              <w:left w:w="100" w:type="dxa"/>
              <w:right w:w="100" w:type="dxa"/>
            </w:tcMar>
          </w:tcPr>
          <w:p>
            <w:r>
              <w:rPr>
                <w:rFonts w:ascii="Arial" w:hAnsi="Arial"/>
                <w:color w:val="1C1917"/>
                <w:sz w:val="16"/>
              </w:rPr>
              <w:t>純前端畫面 CSS 微調、文字修正、內部臨時小工具代碼。</w:t>
            </w:r>
          </w:p>
        </w:tc>
        <w:tc>
          <w:tcPr>
            <w:tcW w:type="dxa" w:w="2880"/>
            <w:shd w:fill="FFFFFF"/>
            <w:tcMar>
              <w:top w:w="60" w:type="dxa"/>
              <w:bottom w:w="60" w:type="dxa"/>
              <w:left w:w="100" w:type="dxa"/>
              <w:right w:w="100" w:type="dxa"/>
            </w:tcMar>
          </w:tcPr>
          <w:p>
            <w:r>
              <w:rPr>
                <w:rFonts w:ascii="Arial" w:hAnsi="Arial"/>
                <w:color w:val="1C1917"/>
                <w:sz w:val="16"/>
              </w:rPr>
              <w:t>同行對等審查（Peer Review）：</w:t>
              <w:br/>
              <w:t>同組 1 位同仁具名 Approved 即可合併。</w:t>
            </w:r>
          </w:p>
        </w:tc>
        <w:tc>
          <w:tcPr>
            <w:tcW w:type="dxa" w:w="2304"/>
            <w:shd w:fill="FFFFFF"/>
            <w:tcMar>
              <w:top w:w="60" w:type="dxa"/>
              <w:bottom w:w="60" w:type="dxa"/>
              <w:left w:w="100" w:type="dxa"/>
              <w:right w:w="100" w:type="dxa"/>
            </w:tcMar>
          </w:tcPr>
          <w:p>
            <w:r>
              <w:rPr>
                <w:rFonts w:ascii="Arial" w:hAnsi="Arial"/>
                <w:color w:val="1C1917"/>
                <w:sz w:val="16"/>
              </w:rPr>
              <w:t>前端截圖或 PR 測試說明。</w:t>
            </w:r>
          </w:p>
        </w:tc>
      </w:tr>
      <w:tr>
        <w:tc>
          <w:tcPr>
            <w:tcW w:type="dxa" w:w="2016"/>
            <w:shd w:fill="FAFAF9"/>
            <w:tcMar>
              <w:top w:w="60" w:type="dxa"/>
              <w:bottom w:w="60" w:type="dxa"/>
              <w:left w:w="100" w:type="dxa"/>
              <w:right w:w="100" w:type="dxa"/>
            </w:tcMar>
          </w:tcPr>
          <w:p>
            <w:r>
              <w:rPr>
                <w:rFonts w:ascii="Arial" w:hAnsi="Arial"/>
                <w:color w:val="1C1917"/>
                <w:sz w:val="16"/>
              </w:rPr>
              <w:t>L2 中風險</w:t>
              <w:br/>
              <w:t>(Medium Risk)</w:t>
            </w:r>
          </w:p>
        </w:tc>
        <w:tc>
          <w:tcPr>
            <w:tcW w:type="dxa" w:w="3168"/>
            <w:shd w:fill="FAFAF9"/>
            <w:tcMar>
              <w:top w:w="60" w:type="dxa"/>
              <w:bottom w:w="60" w:type="dxa"/>
              <w:left w:w="100" w:type="dxa"/>
              <w:right w:w="100" w:type="dxa"/>
            </w:tcMar>
          </w:tcPr>
          <w:p>
            <w:r>
              <w:rPr>
                <w:rFonts w:ascii="Arial" w:hAnsi="Arial"/>
                <w:color w:val="1C1917"/>
                <w:sz w:val="16"/>
              </w:rPr>
              <w:t>業務邏輯調整、成衣檢驗流程微調、新增非核心 API 接口。</w:t>
            </w:r>
          </w:p>
        </w:tc>
        <w:tc>
          <w:tcPr>
            <w:tcW w:type="dxa" w:w="2880"/>
            <w:shd w:fill="FAFAF9"/>
            <w:tcMar>
              <w:top w:w="60" w:type="dxa"/>
              <w:bottom w:w="60" w:type="dxa"/>
              <w:left w:w="100" w:type="dxa"/>
              <w:right w:w="100" w:type="dxa"/>
            </w:tcMar>
          </w:tcPr>
          <w:p>
            <w:r>
              <w:rPr>
                <w:rFonts w:ascii="Arial" w:hAnsi="Arial"/>
                <w:color w:val="1C1917"/>
                <w:sz w:val="16"/>
              </w:rPr>
              <w:t>資深工程師審查（Senior Review）：</w:t>
              <w:br/>
              <w:t>由組長或資深同仁 1 位審核，核對分層與邊界。</w:t>
            </w:r>
          </w:p>
        </w:tc>
        <w:tc>
          <w:tcPr>
            <w:tcW w:type="dxa" w:w="2304"/>
            <w:shd w:fill="FAFAF9"/>
            <w:tcMar>
              <w:top w:w="60" w:type="dxa"/>
              <w:bottom w:w="60" w:type="dxa"/>
              <w:left w:w="100" w:type="dxa"/>
              <w:right w:w="100" w:type="dxa"/>
            </w:tcMar>
          </w:tcPr>
          <w:p>
            <w:r>
              <w:rPr>
                <w:rFonts w:ascii="Arial" w:hAnsi="Arial"/>
                <w:color w:val="1C1917"/>
                <w:sz w:val="16"/>
              </w:rPr>
              <w:t>單元測試通過報告 (Coverage &gt; 70%)。</w:t>
            </w:r>
          </w:p>
        </w:tc>
      </w:tr>
      <w:tr>
        <w:tc>
          <w:tcPr>
            <w:tcW w:type="dxa" w:w="2016"/>
            <w:shd w:fill="FFFFFF"/>
            <w:tcMar>
              <w:top w:w="60" w:type="dxa"/>
              <w:bottom w:w="60" w:type="dxa"/>
              <w:left w:w="100" w:type="dxa"/>
              <w:right w:w="100" w:type="dxa"/>
            </w:tcMar>
          </w:tcPr>
          <w:p>
            <w:r>
              <w:rPr>
                <w:rFonts w:ascii="Arial" w:hAnsi="Arial"/>
                <w:color w:val="1C1917"/>
                <w:sz w:val="16"/>
              </w:rPr>
              <w:t>L3 高風險</w:t>
              <w:br/>
              <w:t>(High Risk)</w:t>
            </w:r>
          </w:p>
        </w:tc>
        <w:tc>
          <w:tcPr>
            <w:tcW w:type="dxa" w:w="3168"/>
            <w:shd w:fill="FFFFFF"/>
            <w:tcMar>
              <w:top w:w="60" w:type="dxa"/>
              <w:bottom w:w="60" w:type="dxa"/>
              <w:left w:w="100" w:type="dxa"/>
              <w:right w:w="100" w:type="dxa"/>
            </w:tcMar>
          </w:tcPr>
          <w:p>
            <w:r>
              <w:rPr>
                <w:rFonts w:ascii="Arial" w:hAnsi="Arial"/>
                <w:color w:val="1C1917"/>
                <w:sz w:val="16"/>
              </w:rPr>
              <w:t>核心 D365 外掛、工單扣料、計件薪資算法、MS SQL DDL 變更。</w:t>
            </w:r>
          </w:p>
        </w:tc>
        <w:tc>
          <w:tcPr>
            <w:tcW w:type="dxa" w:w="2880"/>
            <w:shd w:fill="FFFFFF"/>
            <w:tcMar>
              <w:top w:w="60" w:type="dxa"/>
              <w:bottom w:w="60" w:type="dxa"/>
              <w:left w:w="100" w:type="dxa"/>
              <w:right w:w="100" w:type="dxa"/>
            </w:tcMar>
          </w:tcPr>
          <w:p>
            <w:r>
              <w:rPr>
                <w:rFonts w:ascii="Arial" w:hAnsi="Arial"/>
                <w:color w:val="1C1917"/>
                <w:sz w:val="16"/>
              </w:rPr>
              <w:t>架構師與主管雙簽（Lead + Director）：</w:t>
              <w:br/>
              <w:t>資深架構師核對交易 ACID，資訊主管簽署放行。</w:t>
            </w:r>
          </w:p>
        </w:tc>
        <w:tc>
          <w:tcPr>
            <w:tcW w:type="dxa" w:w="2304"/>
            <w:shd w:fill="FFFFFF"/>
            <w:tcMar>
              <w:top w:w="60" w:type="dxa"/>
              <w:bottom w:w="60" w:type="dxa"/>
              <w:left w:w="100" w:type="dxa"/>
              <w:right w:w="100" w:type="dxa"/>
            </w:tcMar>
          </w:tcPr>
          <w:p>
            <w:r>
              <w:rPr>
                <w:rFonts w:ascii="Arial" w:hAnsi="Arial"/>
                <w:color w:val="1C1917"/>
                <w:sz w:val="16"/>
              </w:rPr>
              <w:t>SQL 執行計畫審核日誌 ＋ 迴歸測試報告。</w:t>
            </w:r>
          </w:p>
        </w:tc>
      </w:tr>
    </w:tbl>
    <w:p>
      <w:pPr>
        <w:spacing w:after="80"/>
      </w:pPr>
    </w:p>
    <w:p>
      <w:r>
        <w:br w:type="page"/>
      </w:r>
    </w:p>
    <w:p>
      <w:pPr>
        <w:spacing w:before="160" w:after="80"/>
      </w:pPr>
      <w:r>
        <w:rPr>
          <w:rFonts w:ascii="Arial" w:hAnsi="Arial"/>
          <w:b/>
          <w:color w:val="D97706"/>
          <w:sz w:val="22"/>
        </w:rPr>
        <w:t xml:space="preserve">【第三章：版控治理】 </w:t>
      </w:r>
      <w:r>
        <w:rPr>
          <w:rFonts w:ascii="Arial" w:hAnsi="Arial"/>
          <w:b/>
          <w:color w:val="A83212"/>
          <w:sz w:val="30"/>
        </w:rPr>
        <w:t>3.7 原始碼資產備份、稽核日誌與內控第 9 條之 1 對齊</w:t>
      </w:r>
    </w:p>
    <w:p>
      <w:pPr>
        <w:spacing w:before="0" w:after="200"/>
      </w:pPr>
      <w:r>
        <w:rPr>
          <w:rFonts w:ascii="Arial" w:hAnsi="Arial"/>
          <w:i/>
          <w:color w:val="78716C"/>
          <w:sz w:val="19"/>
        </w:rPr>
        <w:t>Audit Trail &amp; Compliance · Aligning SCM with Internal Control Standards</w:t>
      </w:r>
    </w:p>
    <w:p>
      <w:pPr>
        <w:spacing w:before="0" w:after="120" w:line="276" w:lineRule="auto"/>
      </w:pPr>
      <w:r>
        <w:rPr>
          <w:rFonts w:ascii="Arial" w:hAnsi="Arial"/>
          <w:color w:val="1C1917"/>
          <w:sz w:val="19"/>
        </w:rPr>
        <w:t>依據公開發行公司《內部控制制度處理準則》第 9 條之 1 及證券交易所《上市上櫃公司資通安全管控指引》，企業核心軟體原始碼必須具備完整不可篡改的存取軌跡與異地備份機制。第一階段顧問服務協助信源落實了以下法規合規配置：</w:t>
      </w:r>
    </w:p>
    <w:p>
      <w:pPr>
        <w:pStyle w:val="ListBullet"/>
        <w:spacing w:before="0" w:after="60" w:line="269" w:lineRule="auto"/>
      </w:pPr>
      <w:r>
        <w:rPr>
          <w:rFonts w:ascii="Arial" w:hAnsi="Arial"/>
          <w:b/>
          <w:color w:val="1C1917"/>
          <w:sz w:val="18"/>
        </w:rPr>
        <w:t>1. 原始碼異地不可篡改備份：</w:t>
      </w:r>
      <w:r>
        <w:rPr>
          <w:rFonts w:ascii="Arial" w:hAnsi="Arial"/>
          <w:color w:val="1C1917"/>
          <w:sz w:val="18"/>
        </w:rPr>
        <w:t>GitLab 每日深夜自動產出包含全歷史之加密 Bundle 備份，排程同步備份至 Azure 異地儲存體，符合 3-2-1 備份原則。</w:t>
      </w:r>
    </w:p>
    <w:p>
      <w:pPr>
        <w:pStyle w:val="ListBullet"/>
        <w:spacing w:before="0" w:after="60" w:line="269" w:lineRule="auto"/>
      </w:pPr>
      <w:r>
        <w:rPr>
          <w:rFonts w:ascii="Arial" w:hAnsi="Arial"/>
          <w:b/>
          <w:color w:val="1C1917"/>
          <w:sz w:val="18"/>
        </w:rPr>
        <w:t>2. 完整特權存取稽核日誌 (Audit Log)：</w:t>
      </w:r>
      <w:r>
        <w:rPr>
          <w:rFonts w:ascii="Arial" w:hAnsi="Arial"/>
          <w:color w:val="1C1917"/>
          <w:sz w:val="18"/>
        </w:rPr>
        <w:t>完整記錄每位工程師之登入 IP、代碼 Pull / Clone 動作、分支建立與合併審批紀錄，日誌強制保存 3 年備查。</w:t>
      </w:r>
    </w:p>
    <w:p>
      <w:pPr>
        <w:pStyle w:val="ListBullet"/>
        <w:spacing w:before="0" w:after="60" w:line="269" w:lineRule="auto"/>
      </w:pPr>
      <w:r>
        <w:rPr>
          <w:rFonts w:ascii="Arial" w:hAnsi="Arial"/>
          <w:b/>
          <w:color w:val="1C1917"/>
          <w:sz w:val="18"/>
        </w:rPr>
        <w:t>3. 離職權限即時清理機制：</w:t>
      </w:r>
      <w:r>
        <w:rPr>
          <w:rFonts w:ascii="Arial" w:hAnsi="Arial"/>
          <w:color w:val="1C1917"/>
          <w:sz w:val="18"/>
        </w:rPr>
        <w:t>每季末由內部稽核同仁抽查 GitLab 離職名單停權時效，確保離職人員在人事離職手續完成當日 18:00 前完全移除專案權限。</w:t>
      </w:r>
    </w:p>
    <w:p>
      <w:pPr>
        <w:pStyle w:val="ListBullet"/>
        <w:spacing w:before="0" w:after="60" w:line="269" w:lineRule="auto"/>
      </w:pPr>
      <w:r>
        <w:rPr>
          <w:rFonts w:ascii="Arial" w:hAnsi="Arial"/>
          <w:b/>
          <w:color w:val="1C1917"/>
          <w:sz w:val="18"/>
        </w:rPr>
        <w:t>4. 機敏金鑰防外洩掃描：</w:t>
      </w:r>
      <w:r>
        <w:rPr>
          <w:rFonts w:ascii="Arial" w:hAnsi="Arial"/>
          <w:color w:val="1C1917"/>
          <w:sz w:val="18"/>
        </w:rPr>
        <w:t>在 GitLab 啟用 Secret Detection 掃描器，嚴禁同仁在代碼中誤貼入 AWS Key、SQL 連線字串或私人憑證。</w:t>
      </w:r>
    </w:p>
    <w:p>
      <w:r>
        <w:br w:type="page"/>
      </w:r>
    </w:p>
    <w:p>
      <w:pPr>
        <w:spacing w:before="160" w:after="80"/>
      </w:pPr>
      <w:r>
        <w:rPr>
          <w:rFonts w:ascii="Arial" w:hAnsi="Arial"/>
          <w:b/>
          <w:color w:val="D97706"/>
          <w:sz w:val="22"/>
        </w:rPr>
        <w:t xml:space="preserve">【第三章：版控治理】 </w:t>
      </w:r>
      <w:r>
        <w:rPr>
          <w:rFonts w:ascii="Arial" w:hAnsi="Arial"/>
          <w:b/>
          <w:color w:val="A83212"/>
          <w:sz w:val="30"/>
        </w:rPr>
        <w:t>3.8 團隊工程文化轉型：從「各寫各的」到「可度量 DevOps 交付」</w:t>
      </w:r>
    </w:p>
    <w:p>
      <w:pPr>
        <w:spacing w:before="0" w:after="200"/>
      </w:pPr>
      <w:r>
        <w:rPr>
          <w:rFonts w:ascii="Arial" w:hAnsi="Arial"/>
          <w:i/>
          <w:color w:val="78716C"/>
          <w:sz w:val="19"/>
        </w:rPr>
        <w:t>DevOps Culture Evolution · Metrics, Transparency &amp; Single Source of Truth</w:t>
      </w:r>
    </w:p>
    <w:p>
      <w:pPr>
        <w:spacing w:before="0" w:after="120" w:line="276" w:lineRule="auto"/>
      </w:pPr>
      <w:r>
        <w:rPr>
          <w:rFonts w:ascii="Arial" w:hAnsi="Arial"/>
          <w:color w:val="1C1917"/>
          <w:sz w:val="19"/>
        </w:rPr>
        <w:t>技術架構的收斂，最終必須沉澱為全體工程團隊的作息與信仰。第一階段推動的版控與專案治理，使信源 16 位工程師團隊發生了顯著的思維質變：</w:t>
      </w:r>
    </w:p>
    <w:tbl>
      <w:tblPr>
        <w:tblW w:type="auto" w:w="0"/>
        <w:jc w:val="center"/>
        <w:tblLook w:firstColumn="1" w:firstRow="1" w:lastColumn="0" w:lastRow="0" w:noHBand="0" w:noVBand="1" w:val="04A0"/>
      </w:tblPr>
      <w:tblGrid>
        <w:gridCol w:w="2412"/>
        <w:gridCol w:w="2412"/>
        <w:gridCol w:w="2412"/>
        <w:gridCol w:w="2412"/>
      </w:tblGrid>
      <w:tr>
        <w:tc>
          <w:tcPr>
            <w:tcW w:type="dxa" w:w="2016"/>
            <w:shd w:fill="F5EFEB"/>
            <w:tcMar>
              <w:top w:w="80" w:type="dxa"/>
              <w:bottom w:w="80" w:type="dxa"/>
              <w:left w:w="100" w:type="dxa"/>
              <w:right w:w="100" w:type="dxa"/>
            </w:tcMar>
          </w:tcPr>
          <w:p>
            <w:r>
              <w:rPr>
                <w:rFonts w:ascii="Arial" w:hAnsi="Arial"/>
                <w:b/>
                <w:color w:val="A83212"/>
                <w:sz w:val="17"/>
              </w:rPr>
              <w:t>工程文化面向</w:t>
            </w:r>
          </w:p>
        </w:tc>
        <w:tc>
          <w:tcPr>
            <w:tcW w:type="dxa" w:w="3168"/>
            <w:shd w:fill="F5EFEB"/>
            <w:tcMar>
              <w:top w:w="80" w:type="dxa"/>
              <w:bottom w:w="80" w:type="dxa"/>
              <w:left w:w="100" w:type="dxa"/>
              <w:right w:w="100" w:type="dxa"/>
            </w:tcMar>
          </w:tcPr>
          <w:p>
            <w:r>
              <w:rPr>
                <w:rFonts w:ascii="Arial" w:hAnsi="Arial"/>
                <w:b/>
                <w:color w:val="A83212"/>
                <w:sz w:val="17"/>
              </w:rPr>
              <w:t>過去隨興編程時代之現象</w:t>
            </w:r>
          </w:p>
        </w:tc>
        <w:tc>
          <w:tcPr>
            <w:tcW w:type="dxa" w:w="3168"/>
            <w:shd w:fill="F5EFEB"/>
            <w:tcMar>
              <w:top w:w="80" w:type="dxa"/>
              <w:bottom w:w="80" w:type="dxa"/>
              <w:left w:w="100" w:type="dxa"/>
              <w:right w:w="100" w:type="dxa"/>
            </w:tcMar>
          </w:tcPr>
          <w:p>
            <w:r>
              <w:rPr>
                <w:rFonts w:ascii="Arial" w:hAnsi="Arial"/>
                <w:b/>
                <w:color w:val="A83212"/>
                <w:sz w:val="17"/>
              </w:rPr>
              <w:t>蜂巢計畫第一階段確立之現代實踐</w:t>
            </w:r>
          </w:p>
        </w:tc>
        <w:tc>
          <w:tcPr>
            <w:tcW w:type="dxa" w:w="2016"/>
            <w:shd w:fill="F5EFEB"/>
            <w:tcMar>
              <w:top w:w="80" w:type="dxa"/>
              <w:bottom w:w="80" w:type="dxa"/>
              <w:left w:w="100" w:type="dxa"/>
              <w:right w:w="100" w:type="dxa"/>
            </w:tcMar>
          </w:tcPr>
          <w:p>
            <w:r>
              <w:rPr>
                <w:rFonts w:ascii="Arial" w:hAnsi="Arial"/>
                <w:b/>
                <w:color w:val="A83212"/>
                <w:sz w:val="17"/>
              </w:rPr>
              <w:t>對信源集團之長期深遠價值</w:t>
            </w:r>
          </w:p>
        </w:tc>
      </w:tr>
      <w:tr>
        <w:tc>
          <w:tcPr>
            <w:tcW w:type="dxa" w:w="2016"/>
            <w:shd w:fill="FFFFFF"/>
            <w:tcMar>
              <w:top w:w="60" w:type="dxa"/>
              <w:bottom w:w="60" w:type="dxa"/>
              <w:left w:w="100" w:type="dxa"/>
              <w:right w:w="100" w:type="dxa"/>
            </w:tcMar>
          </w:tcPr>
          <w:p>
            <w:r>
              <w:rPr>
                <w:rFonts w:ascii="Arial" w:hAnsi="Arial"/>
                <w:color w:val="1C1917"/>
                <w:sz w:val="16"/>
              </w:rPr>
              <w:t>代碼所有權</w:t>
            </w:r>
          </w:p>
        </w:tc>
        <w:tc>
          <w:tcPr>
            <w:tcW w:type="dxa" w:w="3168"/>
            <w:shd w:fill="FFFFFF"/>
            <w:tcMar>
              <w:top w:w="60" w:type="dxa"/>
              <w:bottom w:w="60" w:type="dxa"/>
              <w:left w:w="100" w:type="dxa"/>
              <w:right w:w="100" w:type="dxa"/>
            </w:tcMar>
          </w:tcPr>
          <w:p>
            <w:r>
              <w:rPr>
                <w:rFonts w:ascii="Arial" w:hAnsi="Arial"/>
                <w:color w:val="1C1917"/>
                <w:sz w:val="16"/>
              </w:rPr>
              <w:t>『這是我的系統，別人不要碰』</w:t>
              <w:br/>
              <w:t>代碼風格各異，無人敢接手。</w:t>
            </w:r>
          </w:p>
        </w:tc>
        <w:tc>
          <w:tcPr>
            <w:tcW w:type="dxa" w:w="3168"/>
            <w:shd w:fill="FFFFFF"/>
            <w:tcMar>
              <w:top w:w="60" w:type="dxa"/>
              <w:bottom w:w="60" w:type="dxa"/>
              <w:left w:w="100" w:type="dxa"/>
              <w:right w:w="100" w:type="dxa"/>
            </w:tcMar>
          </w:tcPr>
          <w:p>
            <w:r>
              <w:rPr>
                <w:rFonts w:ascii="Arial" w:hAnsi="Arial"/>
                <w:color w:val="1C1917"/>
                <w:sz w:val="16"/>
              </w:rPr>
              <w:t>『代碼是集團資產，集體共有』</w:t>
              <w:br/>
              <w:t>統一 Coding Guideline，彼此皆能審查。</w:t>
            </w:r>
          </w:p>
        </w:tc>
        <w:tc>
          <w:tcPr>
            <w:tcW w:type="dxa" w:w="2016"/>
            <w:shd w:fill="FFFFFF"/>
            <w:tcMar>
              <w:top w:w="60" w:type="dxa"/>
              <w:bottom w:w="60" w:type="dxa"/>
              <w:left w:w="100" w:type="dxa"/>
              <w:right w:w="100" w:type="dxa"/>
            </w:tcMar>
          </w:tcPr>
          <w:p>
            <w:r>
              <w:rPr>
                <w:rFonts w:ascii="Arial" w:hAnsi="Arial"/>
                <w:color w:val="1C1917"/>
                <w:sz w:val="16"/>
              </w:rPr>
              <w:t>徹底消滅單點脆弱度 (Bus Factor)，降低人員異動交接成本。</w:t>
            </w:r>
          </w:p>
        </w:tc>
      </w:tr>
      <w:tr>
        <w:tc>
          <w:tcPr>
            <w:tcW w:type="dxa" w:w="2016"/>
            <w:shd w:fill="FAFAF9"/>
            <w:tcMar>
              <w:top w:w="60" w:type="dxa"/>
              <w:bottom w:w="60" w:type="dxa"/>
              <w:left w:w="100" w:type="dxa"/>
              <w:right w:w="100" w:type="dxa"/>
            </w:tcMar>
          </w:tcPr>
          <w:p>
            <w:r>
              <w:rPr>
                <w:rFonts w:ascii="Arial" w:hAnsi="Arial"/>
                <w:color w:val="1C1917"/>
                <w:sz w:val="16"/>
              </w:rPr>
              <w:t>進度可視度</w:t>
            </w:r>
          </w:p>
        </w:tc>
        <w:tc>
          <w:tcPr>
            <w:tcW w:type="dxa" w:w="3168"/>
            <w:shd w:fill="FAFAF9"/>
            <w:tcMar>
              <w:top w:w="60" w:type="dxa"/>
              <w:bottom w:w="60" w:type="dxa"/>
              <w:left w:w="100" w:type="dxa"/>
              <w:right w:w="100" w:type="dxa"/>
            </w:tcMar>
          </w:tcPr>
          <w:p>
            <w:r>
              <w:rPr>
                <w:rFonts w:ascii="Arial" w:hAnsi="Arial"/>
                <w:color w:val="1C1917"/>
                <w:sz w:val="16"/>
              </w:rPr>
              <w:t>主管問進度，工程師回『差不多了』</w:t>
              <w:br/>
              <w:t>真實進度黑箱，經常在最後關頭爆雷。</w:t>
            </w:r>
          </w:p>
        </w:tc>
        <w:tc>
          <w:tcPr>
            <w:tcW w:type="dxa" w:w="3168"/>
            <w:shd w:fill="FAFAF9"/>
            <w:tcMar>
              <w:top w:w="60" w:type="dxa"/>
              <w:bottom w:w="60" w:type="dxa"/>
              <w:left w:w="100" w:type="dxa"/>
              <w:right w:w="100" w:type="dxa"/>
            </w:tcMar>
          </w:tcPr>
          <w:p>
            <w:r>
              <w:rPr>
                <w:rFonts w:ascii="Arial" w:hAnsi="Arial"/>
                <w:color w:val="1C1917"/>
                <w:sz w:val="16"/>
              </w:rPr>
              <w:t>以 Notion 看板 ＋ GitLab MR 狀態為準</w:t>
              <w:br/>
              <w:t>未經 Review 通過不算完成 (Definition of Done)。</w:t>
            </w:r>
          </w:p>
        </w:tc>
        <w:tc>
          <w:tcPr>
            <w:tcW w:type="dxa" w:w="2016"/>
            <w:shd w:fill="FAFAF9"/>
            <w:tcMar>
              <w:top w:w="60" w:type="dxa"/>
              <w:bottom w:w="60" w:type="dxa"/>
              <w:left w:w="100" w:type="dxa"/>
              <w:right w:w="100" w:type="dxa"/>
            </w:tcMar>
          </w:tcPr>
          <w:p>
            <w:r>
              <w:rPr>
                <w:rFonts w:ascii="Arial" w:hAnsi="Arial"/>
                <w:color w:val="1C1917"/>
                <w:sz w:val="16"/>
              </w:rPr>
              <w:t>主管隨時掌握即時燃盡圖 (Burndown Chart)，排程精準度提升 40%。</w:t>
            </w:r>
          </w:p>
        </w:tc>
      </w:tr>
      <w:tr>
        <w:tc>
          <w:tcPr>
            <w:tcW w:type="dxa" w:w="2016"/>
            <w:shd w:fill="FFFFFF"/>
            <w:tcMar>
              <w:top w:w="60" w:type="dxa"/>
              <w:bottom w:w="60" w:type="dxa"/>
              <w:left w:w="100" w:type="dxa"/>
              <w:right w:w="100" w:type="dxa"/>
            </w:tcMar>
          </w:tcPr>
          <w:p>
            <w:r>
              <w:rPr>
                <w:rFonts w:ascii="Arial" w:hAnsi="Arial"/>
                <w:color w:val="1C1917"/>
                <w:sz w:val="16"/>
              </w:rPr>
              <w:t>問題歸因</w:t>
            </w:r>
          </w:p>
        </w:tc>
        <w:tc>
          <w:tcPr>
            <w:tcW w:type="dxa" w:w="3168"/>
            <w:shd w:fill="FFFFFF"/>
            <w:tcMar>
              <w:top w:w="60" w:type="dxa"/>
              <w:bottom w:w="60" w:type="dxa"/>
              <w:left w:w="100" w:type="dxa"/>
              <w:right w:w="100" w:type="dxa"/>
            </w:tcMar>
          </w:tcPr>
          <w:p>
            <w:r>
              <w:rPr>
                <w:rFonts w:ascii="Arial" w:hAnsi="Arial"/>
                <w:color w:val="1C1917"/>
                <w:sz w:val="16"/>
              </w:rPr>
              <w:t>線上出問題互相推諉</w:t>
              <w:br/>
              <w:t>『不知道誰改了程式，我沒動』。</w:t>
            </w:r>
          </w:p>
        </w:tc>
        <w:tc>
          <w:tcPr>
            <w:tcW w:type="dxa" w:w="3168"/>
            <w:shd w:fill="FFFFFF"/>
            <w:tcMar>
              <w:top w:w="60" w:type="dxa"/>
              <w:bottom w:w="60" w:type="dxa"/>
              <w:left w:w="100" w:type="dxa"/>
              <w:right w:w="100" w:type="dxa"/>
            </w:tcMar>
          </w:tcPr>
          <w:p>
            <w:r>
              <w:rPr>
                <w:rFonts w:ascii="Arial" w:hAnsi="Arial"/>
                <w:color w:val="1C1917"/>
                <w:sz w:val="16"/>
              </w:rPr>
              <w:t>Git Blame 與 MR 審批軌跡清清楚楚</w:t>
              <w:br/>
              <w:t>檢討流程與自動化測試盲點，而非責怪個人。</w:t>
            </w:r>
          </w:p>
        </w:tc>
        <w:tc>
          <w:tcPr>
            <w:tcW w:type="dxa" w:w="2016"/>
            <w:shd w:fill="FFFFFF"/>
            <w:tcMar>
              <w:top w:w="60" w:type="dxa"/>
              <w:bottom w:w="60" w:type="dxa"/>
              <w:left w:w="100" w:type="dxa"/>
              <w:right w:w="100" w:type="dxa"/>
            </w:tcMar>
          </w:tcPr>
          <w:p>
            <w:r>
              <w:rPr>
                <w:rFonts w:ascii="Arial" w:hAnsi="Arial"/>
                <w:color w:val="1C1917"/>
                <w:sz w:val="16"/>
              </w:rPr>
              <w:t>建立以數據與品質為導向的健康工程文化，為 2027 AI 導入鋪平道路。</w:t>
            </w:r>
          </w:p>
        </w:tc>
      </w:tr>
    </w:tbl>
    <w:p>
      <w:pPr>
        <w:spacing w:after="80"/>
      </w:pPr>
    </w:p>
    <w:p>
      <w:r>
        <w:br w:type="page"/>
      </w:r>
    </w:p>
    <w:p>
      <w:pPr>
        <w:spacing w:before="160" w:after="80"/>
      </w:pPr>
      <w:r>
        <w:rPr>
          <w:rFonts w:ascii="Arial" w:hAnsi="Arial"/>
          <w:b/>
          <w:color w:val="D97706"/>
          <w:sz w:val="22"/>
        </w:rPr>
        <w:t xml:space="preserve">【第四章：API 平台】 </w:t>
      </w:r>
      <w:r>
        <w:rPr>
          <w:rFonts w:ascii="Arial" w:hAnsi="Arial"/>
          <w:b/>
          <w:color w:val="A83212"/>
          <w:sz w:val="30"/>
        </w:rPr>
        <w:t>4.1 企業級 API 總平台（API Platform）5 層拓撲架構</w:t>
      </w:r>
    </w:p>
    <w:p>
      <w:pPr>
        <w:spacing w:before="0" w:after="200"/>
      </w:pPr>
      <w:r>
        <w:rPr>
          <w:rFonts w:ascii="Arial" w:hAnsi="Arial"/>
          <w:i/>
          <w:color w:val="78716C"/>
          <w:sz w:val="19"/>
        </w:rPr>
        <w:t>Enterprise API Platform Architecture · The 5-Layer End-to-End Topology</w:t>
      </w:r>
    </w:p>
    <w:p>
      <w:pPr>
        <w:spacing w:before="0" w:after="120" w:line="276" w:lineRule="auto"/>
      </w:pPr>
      <w:r>
        <w:rPr>
          <w:rFonts w:ascii="Arial" w:hAnsi="Arial"/>
          <w:color w:val="1C1917"/>
          <w:sz w:val="19"/>
        </w:rPr>
        <w:t>在現代跨國企業架構中，API 平台是全集團業務系統向外賦能與向內整合的『高速公路收費站與調度中樞』。第一階段顧問團隊為信源全球規劃了標準的 **5 層企業級 API 拓撲架構（The 5-Layer Topology）**，徹底打破過去點對點網狀雜湊的危險結構：</w:t>
      </w:r>
    </w:p>
    <w:tbl>
      <w:tblPr>
        <w:tblW w:type="auto" w:w="0"/>
        <w:jc w:val="center"/>
        <w:tblLook w:firstColumn="1" w:firstRow="1" w:lastColumn="0" w:lastRow="0" w:noHBand="0" w:noVBand="1" w:val="04A0"/>
      </w:tblPr>
      <w:tblGrid>
        <w:gridCol w:w="3216"/>
        <w:gridCol w:w="3216"/>
        <w:gridCol w:w="3216"/>
      </w:tblGrid>
      <w:tr>
        <w:tc>
          <w:tcPr>
            <w:tcW w:type="dxa" w:w="2592"/>
            <w:shd w:fill="F5EFEB"/>
            <w:tcMar>
              <w:top w:w="80" w:type="dxa"/>
              <w:bottom w:w="80" w:type="dxa"/>
              <w:left w:w="100" w:type="dxa"/>
              <w:right w:w="100" w:type="dxa"/>
            </w:tcMar>
          </w:tcPr>
          <w:p>
            <w:r>
              <w:rPr>
                <w:rFonts w:ascii="Arial" w:hAnsi="Arial"/>
                <w:b/>
                <w:color w:val="A83212"/>
                <w:sz w:val="17"/>
              </w:rPr>
              <w:t>拓撲層級</w:t>
            </w:r>
          </w:p>
        </w:tc>
        <w:tc>
          <w:tcPr>
            <w:tcW w:type="dxa" w:w="3168"/>
            <w:shd w:fill="F5EFEB"/>
            <w:tcMar>
              <w:top w:w="80" w:type="dxa"/>
              <w:bottom w:w="80" w:type="dxa"/>
              <w:left w:w="100" w:type="dxa"/>
              <w:right w:w="100" w:type="dxa"/>
            </w:tcMar>
          </w:tcPr>
          <w:p>
            <w:r>
              <w:rPr>
                <w:rFonts w:ascii="Arial" w:hAnsi="Arial"/>
                <w:b/>
                <w:color w:val="A83212"/>
                <w:sz w:val="17"/>
              </w:rPr>
              <w:t>核心組件與技術實現</w:t>
            </w:r>
          </w:p>
        </w:tc>
        <w:tc>
          <w:tcPr>
            <w:tcW w:type="dxa" w:w="4608"/>
            <w:shd w:fill="F5EFEB"/>
            <w:tcMar>
              <w:top w:w="80" w:type="dxa"/>
              <w:bottom w:w="80" w:type="dxa"/>
              <w:left w:w="100" w:type="dxa"/>
              <w:right w:w="100" w:type="dxa"/>
            </w:tcMar>
          </w:tcPr>
          <w:p>
            <w:r>
              <w:rPr>
                <w:rFonts w:ascii="Arial" w:hAnsi="Arial"/>
                <w:b/>
                <w:color w:val="A83212"/>
                <w:sz w:val="17"/>
              </w:rPr>
              <w:t>主要職責與安全邊界防禦重點</w:t>
            </w:r>
          </w:p>
        </w:tc>
      </w:tr>
      <w:tr>
        <w:tc>
          <w:tcPr>
            <w:tcW w:type="dxa" w:w="2592"/>
            <w:shd w:fill="FFFFFF"/>
            <w:tcMar>
              <w:top w:w="60" w:type="dxa"/>
              <w:bottom w:w="60" w:type="dxa"/>
              <w:left w:w="100" w:type="dxa"/>
              <w:right w:w="100" w:type="dxa"/>
            </w:tcMar>
          </w:tcPr>
          <w:p>
            <w:r>
              <w:rPr>
                <w:rFonts w:ascii="Arial" w:hAnsi="Arial"/>
                <w:color w:val="1C1917"/>
                <w:sz w:val="16"/>
              </w:rPr>
              <w:t>Layer 1 · 流量接入與邊界防護</w:t>
            </w:r>
          </w:p>
        </w:tc>
        <w:tc>
          <w:tcPr>
            <w:tcW w:type="dxa" w:w="3168"/>
            <w:shd w:fill="FFFFFF"/>
            <w:tcMar>
              <w:top w:w="60" w:type="dxa"/>
              <w:bottom w:w="60" w:type="dxa"/>
              <w:left w:w="100" w:type="dxa"/>
              <w:right w:w="100" w:type="dxa"/>
            </w:tcMar>
          </w:tcPr>
          <w:p>
            <w:r>
              <w:rPr>
                <w:rFonts w:ascii="Arial" w:hAnsi="Arial"/>
                <w:color w:val="1C1917"/>
                <w:sz w:val="16"/>
              </w:rPr>
              <w:t>雲端 WAAP ＋ 智慧 DDoS 防護</w:t>
              <w:br/>
              <w:t>公網 DNS / Anycast Any-Routing</w:t>
            </w:r>
          </w:p>
        </w:tc>
        <w:tc>
          <w:tcPr>
            <w:tcW w:type="dxa" w:w="4608"/>
            <w:shd w:fill="FFFFFF"/>
            <w:tcMar>
              <w:top w:w="60" w:type="dxa"/>
              <w:bottom w:w="60" w:type="dxa"/>
              <w:left w:w="100" w:type="dxa"/>
              <w:right w:w="100" w:type="dxa"/>
            </w:tcMar>
          </w:tcPr>
          <w:p>
            <w:r>
              <w:rPr>
                <w:rFonts w:ascii="Arial" w:hAnsi="Arial"/>
                <w:color w:val="1C1917"/>
                <w:sz w:val="16"/>
              </w:rPr>
              <w:t>抵擋惡意流量、阻斷 OWASP Web Top 10、執行 SSL/TLS 憑證終卸。</w:t>
            </w:r>
          </w:p>
        </w:tc>
      </w:tr>
      <w:tr>
        <w:tc>
          <w:tcPr>
            <w:tcW w:type="dxa" w:w="2592"/>
            <w:shd w:fill="FAFAF9"/>
            <w:tcMar>
              <w:top w:w="60" w:type="dxa"/>
              <w:bottom w:w="60" w:type="dxa"/>
              <w:left w:w="100" w:type="dxa"/>
              <w:right w:w="100" w:type="dxa"/>
            </w:tcMar>
          </w:tcPr>
          <w:p>
            <w:r>
              <w:rPr>
                <w:rFonts w:ascii="Arial" w:hAnsi="Arial"/>
                <w:color w:val="1C1917"/>
                <w:sz w:val="16"/>
              </w:rPr>
              <w:t>Layer 2 · 核心 API 運行時網關</w:t>
            </w:r>
          </w:p>
        </w:tc>
        <w:tc>
          <w:tcPr>
            <w:tcW w:type="dxa" w:w="3168"/>
            <w:shd w:fill="FAFAF9"/>
            <w:tcMar>
              <w:top w:w="60" w:type="dxa"/>
              <w:bottom w:w="60" w:type="dxa"/>
              <w:left w:w="100" w:type="dxa"/>
              <w:right w:w="100" w:type="dxa"/>
            </w:tcMar>
          </w:tcPr>
          <w:p>
            <w:r>
              <w:rPr>
                <w:rFonts w:ascii="Arial" w:hAnsi="Arial"/>
                <w:color w:val="1C1917"/>
                <w:sz w:val="16"/>
              </w:rPr>
              <w:t>Azure API Management (APIM) 或</w:t>
              <w:br/>
              <w:t>Apache APISIX (極致微秒延遲)</w:t>
            </w:r>
          </w:p>
        </w:tc>
        <w:tc>
          <w:tcPr>
            <w:tcW w:type="dxa" w:w="4608"/>
            <w:shd w:fill="FAFAF9"/>
            <w:tcMar>
              <w:top w:w="60" w:type="dxa"/>
              <w:bottom w:w="60" w:type="dxa"/>
              <w:left w:w="100" w:type="dxa"/>
              <w:right w:w="100" w:type="dxa"/>
            </w:tcMar>
          </w:tcPr>
          <w:p>
            <w:r>
              <w:rPr>
                <w:rFonts w:ascii="Arial" w:hAnsi="Arial"/>
                <w:color w:val="1C1917"/>
                <w:sz w:val="16"/>
              </w:rPr>
              <w:t>API 路由轉發、統一 OAuth2/JWT 驗簽、Rate Limiting 流量突發保護。</w:t>
            </w:r>
          </w:p>
        </w:tc>
      </w:tr>
      <w:tr>
        <w:tc>
          <w:tcPr>
            <w:tcW w:type="dxa" w:w="2592"/>
            <w:shd w:fill="FFFFFF"/>
            <w:tcMar>
              <w:top w:w="60" w:type="dxa"/>
              <w:bottom w:w="60" w:type="dxa"/>
              <w:left w:w="100" w:type="dxa"/>
              <w:right w:w="100" w:type="dxa"/>
            </w:tcMar>
          </w:tcPr>
          <w:p>
            <w:r>
              <w:rPr>
                <w:rFonts w:ascii="Arial" w:hAnsi="Arial"/>
                <w:color w:val="1C1917"/>
                <w:sz w:val="16"/>
              </w:rPr>
              <w:t>Layer 3 · 旁路 API 資安威脅大腦</w:t>
            </w:r>
          </w:p>
        </w:tc>
        <w:tc>
          <w:tcPr>
            <w:tcW w:type="dxa" w:w="3168"/>
            <w:shd w:fill="FFFFFF"/>
            <w:tcMar>
              <w:top w:w="60" w:type="dxa"/>
              <w:bottom w:w="60" w:type="dxa"/>
              <w:left w:w="100" w:type="dxa"/>
              <w:right w:w="100" w:type="dxa"/>
            </w:tcMar>
          </w:tcPr>
          <w:p>
            <w:r>
              <w:rPr>
                <w:rFonts w:ascii="Arial" w:hAnsi="Arial"/>
                <w:color w:val="1C1917"/>
                <w:sz w:val="16"/>
              </w:rPr>
              <w:t>Out-of-Band 旁路流量鏡像分析</w:t>
              <w:br/>
              <w:t>AI 行為基線異常檢測引擎</w:t>
            </w:r>
          </w:p>
        </w:tc>
        <w:tc>
          <w:tcPr>
            <w:tcW w:type="dxa" w:w="4608"/>
            <w:shd w:fill="FFFFFF"/>
            <w:tcMar>
              <w:top w:w="60" w:type="dxa"/>
              <w:bottom w:w="60" w:type="dxa"/>
              <w:left w:w="100" w:type="dxa"/>
              <w:right w:w="100" w:type="dxa"/>
            </w:tcMar>
          </w:tcPr>
          <w:p>
            <w:r>
              <w:rPr>
                <w:rFonts w:ascii="Arial" w:hAnsi="Arial"/>
                <w:color w:val="1C1917"/>
                <w:sz w:val="16"/>
              </w:rPr>
              <w:t>不增加業務延遲前提下，偵測影子 API、自動阻斷 BOLA 越權與敏感個資洩漏。</w:t>
            </w:r>
          </w:p>
        </w:tc>
      </w:tr>
      <w:tr>
        <w:tc>
          <w:tcPr>
            <w:tcW w:type="dxa" w:w="2592"/>
            <w:shd w:fill="FAFAF9"/>
            <w:tcMar>
              <w:top w:w="60" w:type="dxa"/>
              <w:bottom w:w="60" w:type="dxa"/>
              <w:left w:w="100" w:type="dxa"/>
              <w:right w:w="100" w:type="dxa"/>
            </w:tcMar>
          </w:tcPr>
          <w:p>
            <w:r>
              <w:rPr>
                <w:rFonts w:ascii="Arial" w:hAnsi="Arial"/>
                <w:color w:val="1C1917"/>
                <w:sz w:val="16"/>
              </w:rPr>
              <w:t>Layer 4 · 業務中台微服務層</w:t>
            </w:r>
          </w:p>
        </w:tc>
        <w:tc>
          <w:tcPr>
            <w:tcW w:type="dxa" w:w="3168"/>
            <w:shd w:fill="FAFAF9"/>
            <w:tcMar>
              <w:top w:w="60" w:type="dxa"/>
              <w:bottom w:w="60" w:type="dxa"/>
              <w:left w:w="100" w:type="dxa"/>
              <w:right w:w="100" w:type="dxa"/>
            </w:tcMar>
          </w:tcPr>
          <w:p>
            <w:r>
              <w:rPr>
                <w:rFonts w:ascii="Arial" w:hAnsi="Arial"/>
                <w:color w:val="1C1917"/>
                <w:sz w:val="16"/>
              </w:rPr>
              <w:t>C# ASP.NET Core 8 Web API</w:t>
              <w:br/>
              <w:t>運行於 Linux 容器 (Docker)</w:t>
            </w:r>
          </w:p>
        </w:tc>
        <w:tc>
          <w:tcPr>
            <w:tcW w:type="dxa" w:w="4608"/>
            <w:shd w:fill="FAFAF9"/>
            <w:tcMar>
              <w:top w:w="60" w:type="dxa"/>
              <w:bottom w:w="60" w:type="dxa"/>
              <w:left w:w="100" w:type="dxa"/>
              <w:right w:w="100" w:type="dxa"/>
            </w:tcMar>
          </w:tcPr>
          <w:p>
            <w:r>
              <w:rPr>
                <w:rFonts w:ascii="Arial" w:hAnsi="Arial"/>
                <w:color w:val="1C1917"/>
                <w:sz w:val="16"/>
              </w:rPr>
              <w:t>實作成衣業務邏輯：扣料計算、4-Gate 產前門禁策略、計件薪資核算。</w:t>
            </w:r>
          </w:p>
        </w:tc>
      </w:tr>
      <w:tr>
        <w:tc>
          <w:tcPr>
            <w:tcW w:type="dxa" w:w="2592"/>
            <w:shd w:fill="FFFFFF"/>
            <w:tcMar>
              <w:top w:w="60" w:type="dxa"/>
              <w:bottom w:w="60" w:type="dxa"/>
              <w:left w:w="100" w:type="dxa"/>
              <w:right w:w="100" w:type="dxa"/>
            </w:tcMar>
          </w:tcPr>
          <w:p>
            <w:r>
              <w:rPr>
                <w:rFonts w:ascii="Arial" w:hAnsi="Arial"/>
                <w:color w:val="1C1917"/>
                <w:sz w:val="16"/>
              </w:rPr>
              <w:t>Layer 5 · 核心數據持久化底座</w:t>
            </w:r>
          </w:p>
        </w:tc>
        <w:tc>
          <w:tcPr>
            <w:tcW w:type="dxa" w:w="3168"/>
            <w:shd w:fill="FFFFFF"/>
            <w:tcMar>
              <w:top w:w="60" w:type="dxa"/>
              <w:bottom w:w="60" w:type="dxa"/>
              <w:left w:w="100" w:type="dxa"/>
              <w:right w:w="100" w:type="dxa"/>
            </w:tcMar>
          </w:tcPr>
          <w:p>
            <w:r>
              <w:rPr>
                <w:rFonts w:ascii="Arial" w:hAnsi="Arial"/>
                <w:color w:val="1C1917"/>
                <w:sz w:val="16"/>
              </w:rPr>
              <w:t>MS SQL Server AlwaysOn 高可用</w:t>
              <w:br/>
              <w:t>D365 F&amp;O / Azure ADLS Gen2</w:t>
            </w:r>
          </w:p>
        </w:tc>
        <w:tc>
          <w:tcPr>
            <w:tcW w:type="dxa" w:w="4608"/>
            <w:shd w:fill="FFFFFF"/>
            <w:tcMar>
              <w:top w:w="60" w:type="dxa"/>
              <w:bottom w:w="60" w:type="dxa"/>
              <w:left w:w="100" w:type="dxa"/>
              <w:right w:w="100" w:type="dxa"/>
            </w:tcMar>
          </w:tcPr>
          <w:p>
            <w:r>
              <w:rPr>
                <w:rFonts w:ascii="Arial" w:hAnsi="Arial"/>
                <w:color w:val="1C1917"/>
                <w:sz w:val="16"/>
              </w:rPr>
              <w:t>資料一致性儲存、原生 CDC 異動日誌捕獲、深夜離峰批次資料拋轉。</w:t>
            </w:r>
          </w:p>
        </w:tc>
      </w:tr>
    </w:tbl>
    <w:p>
      <w:pPr>
        <w:spacing w:after="80"/>
      </w:pPr>
    </w:p>
    <w:p>
      <w:r>
        <w:br w:type="page"/>
      </w:r>
    </w:p>
    <w:p>
      <w:pPr>
        <w:spacing w:before="160" w:after="80"/>
      </w:pPr>
      <w:r>
        <w:rPr>
          <w:rFonts w:ascii="Arial" w:hAnsi="Arial"/>
          <w:b/>
          <w:color w:val="D97706"/>
          <w:sz w:val="22"/>
        </w:rPr>
        <w:t xml:space="preserve">【第四章：API 平台】 </w:t>
      </w:r>
      <w:r>
        <w:rPr>
          <w:rFonts w:ascii="Arial" w:hAnsi="Arial"/>
          <w:b/>
          <w:color w:val="A83212"/>
          <w:sz w:val="30"/>
        </w:rPr>
        <w:t>4.2 API Gateway 選型評鑑：Azure APIM vs APISIX vs Kong</w:t>
      </w:r>
    </w:p>
    <w:p>
      <w:pPr>
        <w:spacing w:before="0" w:after="200"/>
      </w:pPr>
      <w:r>
        <w:rPr>
          <w:rFonts w:ascii="Arial" w:hAnsi="Arial"/>
          <w:i/>
          <w:color w:val="78716C"/>
          <w:sz w:val="19"/>
        </w:rPr>
        <w:t>API Gateway Evaluation · Azure APIM vs Apache APISIX vs Kong Matrix</w:t>
      </w:r>
    </w:p>
    <w:p>
      <w:pPr>
        <w:spacing w:before="0" w:after="120" w:line="276" w:lineRule="auto"/>
      </w:pPr>
      <w:r>
        <w:rPr>
          <w:rFonts w:ascii="Arial" w:hAnsi="Arial"/>
          <w:color w:val="1C1917"/>
          <w:sz w:val="19"/>
        </w:rPr>
        <w:t>在選型評估中，顧問團隊針對信源以微軟為主的技術環境，深度評鑑了三大主流 API Gateway：</w:t>
      </w:r>
    </w:p>
    <w:tbl>
      <w:tblPr>
        <w:tblW w:type="auto" w:w="0"/>
        <w:jc w:val="center"/>
        <w:tblLook w:firstColumn="1" w:firstRow="1" w:lastColumn="0" w:lastRow="0" w:noHBand="0" w:noVBand="1" w:val="04A0"/>
      </w:tblPr>
      <w:tblGrid>
        <w:gridCol w:w="2412"/>
        <w:gridCol w:w="2412"/>
        <w:gridCol w:w="2412"/>
        <w:gridCol w:w="2412"/>
      </w:tblGrid>
      <w:tr>
        <w:tc>
          <w:tcPr>
            <w:tcW w:type="dxa" w:w="2304"/>
            <w:shd w:fill="F5EFEB"/>
            <w:tcMar>
              <w:top w:w="80" w:type="dxa"/>
              <w:bottom w:w="80" w:type="dxa"/>
              <w:left w:w="100" w:type="dxa"/>
              <w:right w:w="100" w:type="dxa"/>
            </w:tcMar>
          </w:tcPr>
          <w:p>
            <w:r>
              <w:rPr>
                <w:rFonts w:ascii="Arial" w:hAnsi="Arial"/>
                <w:b/>
                <w:color w:val="A83212"/>
                <w:sz w:val="17"/>
              </w:rPr>
              <w:t>評估維度</w:t>
            </w:r>
          </w:p>
        </w:tc>
        <w:tc>
          <w:tcPr>
            <w:tcW w:type="dxa" w:w="2880"/>
            <w:shd w:fill="F5EFEB"/>
            <w:tcMar>
              <w:top w:w="80" w:type="dxa"/>
              <w:bottom w:w="80" w:type="dxa"/>
              <w:left w:w="100" w:type="dxa"/>
              <w:right w:w="100" w:type="dxa"/>
            </w:tcMar>
          </w:tcPr>
          <w:p>
            <w:r>
              <w:rPr>
                <w:rFonts w:ascii="Arial" w:hAnsi="Arial"/>
                <w:b/>
                <w:color w:val="A83212"/>
                <w:sz w:val="17"/>
              </w:rPr>
              <w:t>選項 A：Azure APIM (微軟原生)</w:t>
            </w:r>
          </w:p>
        </w:tc>
        <w:tc>
          <w:tcPr>
            <w:tcW w:type="dxa" w:w="2592"/>
            <w:shd w:fill="F5EFEB"/>
            <w:tcMar>
              <w:top w:w="80" w:type="dxa"/>
              <w:bottom w:w="80" w:type="dxa"/>
              <w:left w:w="100" w:type="dxa"/>
              <w:right w:w="100" w:type="dxa"/>
            </w:tcMar>
          </w:tcPr>
          <w:p>
            <w:r>
              <w:rPr>
                <w:rFonts w:ascii="Arial" w:hAnsi="Arial"/>
                <w:b/>
                <w:color w:val="A83212"/>
                <w:sz w:val="17"/>
              </w:rPr>
              <w:t>選項 B：Apache APISIX (開源頂級)</w:t>
            </w:r>
          </w:p>
        </w:tc>
        <w:tc>
          <w:tcPr>
            <w:tcW w:type="dxa" w:w="2592"/>
            <w:shd w:fill="F5EFEB"/>
            <w:tcMar>
              <w:top w:w="80" w:type="dxa"/>
              <w:bottom w:w="80" w:type="dxa"/>
              <w:left w:w="100" w:type="dxa"/>
              <w:right w:w="100" w:type="dxa"/>
            </w:tcMar>
          </w:tcPr>
          <w:p>
            <w:r>
              <w:rPr>
                <w:rFonts w:ascii="Arial" w:hAnsi="Arial"/>
                <w:b/>
                <w:color w:val="A83212"/>
                <w:sz w:val="17"/>
              </w:rPr>
              <w:t>選項 C：Kong Gateway (跨國商業)</w:t>
            </w:r>
          </w:p>
        </w:tc>
      </w:tr>
      <w:tr>
        <w:tc>
          <w:tcPr>
            <w:tcW w:type="dxa" w:w="2304"/>
            <w:shd w:fill="FFFFFF"/>
            <w:tcMar>
              <w:top w:w="60" w:type="dxa"/>
              <w:bottom w:w="60" w:type="dxa"/>
              <w:left w:w="100" w:type="dxa"/>
              <w:right w:w="100" w:type="dxa"/>
            </w:tcMar>
          </w:tcPr>
          <w:p>
            <w:r>
              <w:rPr>
                <w:rFonts w:ascii="Arial" w:hAnsi="Arial"/>
                <w:color w:val="1C1917"/>
                <w:sz w:val="16"/>
              </w:rPr>
              <w:t>與 D365 / M365 整合度</w:t>
            </w:r>
          </w:p>
        </w:tc>
        <w:tc>
          <w:tcPr>
            <w:tcW w:type="dxa" w:w="2880"/>
            <w:shd w:fill="FFFFFF"/>
            <w:tcMar>
              <w:top w:w="60" w:type="dxa"/>
              <w:bottom w:w="60" w:type="dxa"/>
              <w:left w:w="100" w:type="dxa"/>
              <w:right w:w="100" w:type="dxa"/>
            </w:tcMar>
          </w:tcPr>
          <w:p>
            <w:r>
              <w:rPr>
                <w:rFonts w:ascii="Arial" w:hAnsi="Arial"/>
                <w:color w:val="1C1917"/>
                <w:sz w:val="16"/>
              </w:rPr>
              <w:t>★ 原生最高 (內建 Entra ID 鑑權)</w:t>
            </w:r>
          </w:p>
        </w:tc>
        <w:tc>
          <w:tcPr>
            <w:tcW w:type="dxa" w:w="2592"/>
            <w:shd w:fill="FFFFFF"/>
            <w:tcMar>
              <w:top w:w="60" w:type="dxa"/>
              <w:bottom w:w="60" w:type="dxa"/>
              <w:left w:w="100" w:type="dxa"/>
              <w:right w:w="100" w:type="dxa"/>
            </w:tcMar>
          </w:tcPr>
          <w:p>
            <w:r>
              <w:rPr>
                <w:rFonts w:ascii="Arial" w:hAnsi="Arial"/>
                <w:color w:val="1C1917"/>
                <w:sz w:val="16"/>
              </w:rPr>
              <w:t>需透過 OIDC 外掛自行串接</w:t>
            </w:r>
          </w:p>
        </w:tc>
        <w:tc>
          <w:tcPr>
            <w:tcW w:type="dxa" w:w="2592"/>
            <w:shd w:fill="FFFFFF"/>
            <w:tcMar>
              <w:top w:w="60" w:type="dxa"/>
              <w:bottom w:w="60" w:type="dxa"/>
              <w:left w:w="100" w:type="dxa"/>
              <w:right w:w="100" w:type="dxa"/>
            </w:tcMar>
          </w:tcPr>
          <w:p>
            <w:r>
              <w:rPr>
                <w:rFonts w:ascii="Arial" w:hAnsi="Arial"/>
                <w:color w:val="1C1917"/>
                <w:sz w:val="16"/>
              </w:rPr>
              <w:t>商業版支援成熟，開源版需自配</w:t>
            </w:r>
          </w:p>
        </w:tc>
      </w:tr>
      <w:tr>
        <w:tc>
          <w:tcPr>
            <w:tcW w:type="dxa" w:w="2304"/>
            <w:shd w:fill="FAFAF9"/>
            <w:tcMar>
              <w:top w:w="60" w:type="dxa"/>
              <w:bottom w:w="60" w:type="dxa"/>
              <w:left w:w="100" w:type="dxa"/>
              <w:right w:w="100" w:type="dxa"/>
            </w:tcMar>
          </w:tcPr>
          <w:p>
            <w:r>
              <w:rPr>
                <w:rFonts w:ascii="Arial" w:hAnsi="Arial"/>
                <w:color w:val="1C1917"/>
                <w:sz w:val="16"/>
              </w:rPr>
              <w:t>效能與轉發延遲</w:t>
            </w:r>
          </w:p>
        </w:tc>
        <w:tc>
          <w:tcPr>
            <w:tcW w:type="dxa" w:w="2880"/>
            <w:shd w:fill="FAFAF9"/>
            <w:tcMar>
              <w:top w:w="60" w:type="dxa"/>
              <w:bottom w:w="60" w:type="dxa"/>
              <w:left w:w="100" w:type="dxa"/>
              <w:right w:w="100" w:type="dxa"/>
            </w:tcMar>
          </w:tcPr>
          <w:p>
            <w:r>
              <w:rPr>
                <w:rFonts w:ascii="Arial" w:hAnsi="Arial"/>
                <w:color w:val="1C1917"/>
                <w:sz w:val="16"/>
              </w:rPr>
              <w:t>表現優異 (約 2~5ms)</w:t>
            </w:r>
          </w:p>
        </w:tc>
        <w:tc>
          <w:tcPr>
            <w:tcW w:type="dxa" w:w="2592"/>
            <w:shd w:fill="FAFAF9"/>
            <w:tcMar>
              <w:top w:w="60" w:type="dxa"/>
              <w:bottom w:w="60" w:type="dxa"/>
              <w:left w:w="100" w:type="dxa"/>
              <w:right w:w="100" w:type="dxa"/>
            </w:tcMar>
          </w:tcPr>
          <w:p>
            <w:r>
              <w:rPr>
                <w:rFonts w:ascii="Arial" w:hAnsi="Arial"/>
                <w:color w:val="1C1917"/>
                <w:sz w:val="16"/>
              </w:rPr>
              <w:t>★ 極致頂尖 (&lt; 1ms，基於 etcd)</w:t>
            </w:r>
          </w:p>
        </w:tc>
        <w:tc>
          <w:tcPr>
            <w:tcW w:type="dxa" w:w="2592"/>
            <w:shd w:fill="FAFAF9"/>
            <w:tcMar>
              <w:top w:w="60" w:type="dxa"/>
              <w:bottom w:w="60" w:type="dxa"/>
              <w:left w:w="100" w:type="dxa"/>
              <w:right w:w="100" w:type="dxa"/>
            </w:tcMar>
          </w:tcPr>
          <w:p>
            <w:r>
              <w:rPr>
                <w:rFonts w:ascii="Arial" w:hAnsi="Arial"/>
                <w:color w:val="1C1917"/>
                <w:sz w:val="16"/>
              </w:rPr>
              <w:t>極高 (約 1~2ms)</w:t>
            </w:r>
          </w:p>
        </w:tc>
      </w:tr>
      <w:tr>
        <w:tc>
          <w:tcPr>
            <w:tcW w:type="dxa" w:w="2304"/>
            <w:shd w:fill="FFFFFF"/>
            <w:tcMar>
              <w:top w:w="60" w:type="dxa"/>
              <w:bottom w:w="60" w:type="dxa"/>
              <w:left w:w="100" w:type="dxa"/>
              <w:right w:w="100" w:type="dxa"/>
            </w:tcMar>
          </w:tcPr>
          <w:p>
            <w:r>
              <w:rPr>
                <w:rFonts w:ascii="Arial" w:hAnsi="Arial"/>
                <w:color w:val="1C1917"/>
                <w:sz w:val="16"/>
              </w:rPr>
              <w:t>動態配置熱更新 (Reload)</w:t>
            </w:r>
          </w:p>
        </w:tc>
        <w:tc>
          <w:tcPr>
            <w:tcW w:type="dxa" w:w="2880"/>
            <w:shd w:fill="FFFFFF"/>
            <w:tcMar>
              <w:top w:w="60" w:type="dxa"/>
              <w:bottom w:w="60" w:type="dxa"/>
              <w:left w:w="100" w:type="dxa"/>
              <w:right w:w="100" w:type="dxa"/>
            </w:tcMar>
          </w:tcPr>
          <w:p>
            <w:r>
              <w:rPr>
                <w:rFonts w:ascii="Arial" w:hAnsi="Arial"/>
                <w:color w:val="1C1917"/>
                <w:sz w:val="16"/>
              </w:rPr>
              <w:t>需經 Azure ARM 部署稍慢</w:t>
            </w:r>
          </w:p>
        </w:tc>
        <w:tc>
          <w:tcPr>
            <w:tcW w:type="dxa" w:w="2592"/>
            <w:shd w:fill="FFFFFF"/>
            <w:tcMar>
              <w:top w:w="60" w:type="dxa"/>
              <w:bottom w:w="60" w:type="dxa"/>
              <w:left w:w="100" w:type="dxa"/>
              <w:right w:w="100" w:type="dxa"/>
            </w:tcMar>
          </w:tcPr>
          <w:p>
            <w:r>
              <w:rPr>
                <w:rFonts w:ascii="Arial" w:hAnsi="Arial"/>
                <w:color w:val="1C1917"/>
                <w:sz w:val="16"/>
              </w:rPr>
              <w:t>★ 毫秒級熱更新，連線完全不斷</w:t>
            </w:r>
          </w:p>
        </w:tc>
        <w:tc>
          <w:tcPr>
            <w:tcW w:type="dxa" w:w="2592"/>
            <w:shd w:fill="FFFFFF"/>
            <w:tcMar>
              <w:top w:w="60" w:type="dxa"/>
              <w:bottom w:w="60" w:type="dxa"/>
              <w:left w:w="100" w:type="dxa"/>
              <w:right w:w="100" w:type="dxa"/>
            </w:tcMar>
          </w:tcPr>
          <w:p>
            <w:r>
              <w:rPr>
                <w:rFonts w:ascii="Arial" w:hAnsi="Arial"/>
                <w:color w:val="1C1917"/>
                <w:sz w:val="16"/>
              </w:rPr>
              <w:t>支援動態熱更新</w:t>
            </w:r>
          </w:p>
        </w:tc>
      </w:tr>
      <w:tr>
        <w:tc>
          <w:tcPr>
            <w:tcW w:type="dxa" w:w="2304"/>
            <w:shd w:fill="FAFAF9"/>
            <w:tcMar>
              <w:top w:w="60" w:type="dxa"/>
              <w:bottom w:w="60" w:type="dxa"/>
              <w:left w:w="100" w:type="dxa"/>
              <w:right w:w="100" w:type="dxa"/>
            </w:tcMar>
          </w:tcPr>
          <w:p>
            <w:r>
              <w:rPr>
                <w:rFonts w:ascii="Arial" w:hAnsi="Arial"/>
                <w:color w:val="1C1917"/>
                <w:sz w:val="16"/>
              </w:rPr>
              <w:t>內部 IT 團隊維運門檻</w:t>
            </w:r>
          </w:p>
        </w:tc>
        <w:tc>
          <w:tcPr>
            <w:tcW w:type="dxa" w:w="2880"/>
            <w:shd w:fill="FAFAF9"/>
            <w:tcMar>
              <w:top w:w="60" w:type="dxa"/>
              <w:bottom w:w="60" w:type="dxa"/>
              <w:left w:w="100" w:type="dxa"/>
              <w:right w:w="100" w:type="dxa"/>
            </w:tcMar>
          </w:tcPr>
          <w:p>
            <w:r>
              <w:rPr>
                <w:rFonts w:ascii="Arial" w:hAnsi="Arial"/>
                <w:color w:val="1C1917"/>
                <w:sz w:val="16"/>
              </w:rPr>
              <w:t>★ 最低 (介面直觀，微軟統一入口)</w:t>
            </w:r>
          </w:p>
        </w:tc>
        <w:tc>
          <w:tcPr>
            <w:tcW w:type="dxa" w:w="2592"/>
            <w:shd w:fill="FAFAF9"/>
            <w:tcMar>
              <w:top w:w="60" w:type="dxa"/>
              <w:bottom w:w="60" w:type="dxa"/>
              <w:left w:w="100" w:type="dxa"/>
              <w:right w:w="100" w:type="dxa"/>
            </w:tcMar>
          </w:tcPr>
          <w:p>
            <w:r>
              <w:rPr>
                <w:rFonts w:ascii="Arial" w:hAnsi="Arial"/>
                <w:color w:val="1C1917"/>
                <w:sz w:val="16"/>
              </w:rPr>
              <w:t>中等 (需具備 Linux/K8s 知識)</w:t>
            </w:r>
          </w:p>
        </w:tc>
        <w:tc>
          <w:tcPr>
            <w:tcW w:type="dxa" w:w="2592"/>
            <w:shd w:fill="FAFAF9"/>
            <w:tcMar>
              <w:top w:w="60" w:type="dxa"/>
              <w:bottom w:w="60" w:type="dxa"/>
              <w:left w:w="100" w:type="dxa"/>
              <w:right w:w="100" w:type="dxa"/>
            </w:tcMar>
          </w:tcPr>
          <w:p>
            <w:r>
              <w:rPr>
                <w:rFonts w:ascii="Arial" w:hAnsi="Arial"/>
                <w:color w:val="1C1917"/>
                <w:sz w:val="16"/>
              </w:rPr>
              <w:t>中高 (企業版功能繁雜且授權高昂)</w:t>
            </w:r>
          </w:p>
        </w:tc>
      </w:tr>
      <w:tr>
        <w:tc>
          <w:tcPr>
            <w:tcW w:type="dxa" w:w="2304"/>
            <w:shd w:fill="FFFFFF"/>
            <w:tcMar>
              <w:top w:w="60" w:type="dxa"/>
              <w:bottom w:w="60" w:type="dxa"/>
              <w:left w:w="100" w:type="dxa"/>
              <w:right w:w="100" w:type="dxa"/>
            </w:tcMar>
          </w:tcPr>
          <w:p>
            <w:r>
              <w:rPr>
                <w:rFonts w:ascii="Arial" w:hAnsi="Arial"/>
                <w:color w:val="1C1917"/>
                <w:sz w:val="16"/>
              </w:rPr>
              <w:t>整體持有成本 (TCO)</w:t>
            </w:r>
          </w:p>
        </w:tc>
        <w:tc>
          <w:tcPr>
            <w:tcW w:type="dxa" w:w="2880"/>
            <w:shd w:fill="FFFFFF"/>
            <w:tcMar>
              <w:top w:w="60" w:type="dxa"/>
              <w:bottom w:w="60" w:type="dxa"/>
              <w:left w:w="100" w:type="dxa"/>
              <w:right w:w="100" w:type="dxa"/>
            </w:tcMar>
          </w:tcPr>
          <w:p>
            <w:r>
              <w:rPr>
                <w:rFonts w:ascii="Arial" w:hAnsi="Arial"/>
                <w:color w:val="1C1917"/>
                <w:sz w:val="16"/>
              </w:rPr>
              <w:t>依 API 調用量與執行個體計費</w:t>
            </w:r>
          </w:p>
        </w:tc>
        <w:tc>
          <w:tcPr>
            <w:tcW w:type="dxa" w:w="2592"/>
            <w:shd w:fill="FFFFFF"/>
            <w:tcMar>
              <w:top w:w="60" w:type="dxa"/>
              <w:bottom w:w="60" w:type="dxa"/>
              <w:left w:w="100" w:type="dxa"/>
              <w:right w:w="100" w:type="dxa"/>
            </w:tcMar>
          </w:tcPr>
          <w:p>
            <w:r>
              <w:rPr>
                <w:rFonts w:ascii="Arial" w:hAnsi="Arial"/>
                <w:color w:val="1C1917"/>
                <w:sz w:val="16"/>
              </w:rPr>
              <w:t>★ 軟體開源 0 授權費，僅需主機</w:t>
            </w:r>
          </w:p>
        </w:tc>
        <w:tc>
          <w:tcPr>
            <w:tcW w:type="dxa" w:w="2592"/>
            <w:shd w:fill="FFFFFF"/>
            <w:tcMar>
              <w:top w:w="60" w:type="dxa"/>
              <w:bottom w:w="60" w:type="dxa"/>
              <w:left w:w="100" w:type="dxa"/>
              <w:right w:w="100" w:type="dxa"/>
            </w:tcMar>
          </w:tcPr>
          <w:p>
            <w:r>
              <w:rPr>
                <w:rFonts w:ascii="Arial" w:hAnsi="Arial"/>
                <w:color w:val="1C1917"/>
                <w:sz w:val="16"/>
              </w:rPr>
              <w:t>商業版每節點年費昂貴</w:t>
            </w:r>
          </w:p>
        </w:tc>
      </w:tr>
      <w:tr>
        <w:tc>
          <w:tcPr>
            <w:tcW w:type="dxa" w:w="2304"/>
            <w:shd w:fill="FAFAF9"/>
            <w:tcMar>
              <w:top w:w="60" w:type="dxa"/>
              <w:bottom w:w="60" w:type="dxa"/>
              <w:left w:w="100" w:type="dxa"/>
              <w:right w:w="100" w:type="dxa"/>
            </w:tcMar>
          </w:tcPr>
          <w:p>
            <w:r>
              <w:rPr>
                <w:rFonts w:ascii="Arial" w:hAnsi="Arial"/>
                <w:color w:val="1C1917"/>
                <w:sz w:val="16"/>
              </w:rPr>
              <w:t>顧問第一階段推薦評級</w:t>
            </w:r>
          </w:p>
        </w:tc>
        <w:tc>
          <w:tcPr>
            <w:tcW w:type="dxa" w:w="2880"/>
            <w:shd w:fill="FAFAF9"/>
            <w:tcMar>
              <w:top w:w="60" w:type="dxa"/>
              <w:bottom w:w="60" w:type="dxa"/>
              <w:left w:w="100" w:type="dxa"/>
              <w:right w:w="100" w:type="dxa"/>
            </w:tcMar>
          </w:tcPr>
          <w:p>
            <w:r>
              <w:rPr>
                <w:rFonts w:ascii="Arial" w:hAnsi="Arial"/>
                <w:color w:val="1C1917"/>
                <w:sz w:val="16"/>
              </w:rPr>
              <w:t>⭐⭐⭐⭐⭐ (推薦第一候選路線)</w:t>
            </w:r>
          </w:p>
        </w:tc>
        <w:tc>
          <w:tcPr>
            <w:tcW w:type="dxa" w:w="2592"/>
            <w:shd w:fill="FAFAF9"/>
            <w:tcMar>
              <w:top w:w="60" w:type="dxa"/>
              <w:bottom w:w="60" w:type="dxa"/>
              <w:left w:w="100" w:type="dxa"/>
              <w:right w:w="100" w:type="dxa"/>
            </w:tcMar>
          </w:tcPr>
          <w:p>
            <w:r>
              <w:rPr>
                <w:rFonts w:ascii="Arial" w:hAnsi="Arial"/>
                <w:color w:val="1C1917"/>
                <w:sz w:val="16"/>
              </w:rPr>
              <w:t>⭐⭐⭐⭐ (推薦作為邊緣工廠網關)</w:t>
            </w:r>
          </w:p>
        </w:tc>
        <w:tc>
          <w:tcPr>
            <w:tcW w:type="dxa" w:w="2592"/>
            <w:shd w:fill="FAFAF9"/>
            <w:tcMar>
              <w:top w:w="60" w:type="dxa"/>
              <w:bottom w:w="60" w:type="dxa"/>
              <w:left w:w="100" w:type="dxa"/>
              <w:right w:w="100" w:type="dxa"/>
            </w:tcMar>
          </w:tcPr>
          <w:p>
            <w:r>
              <w:rPr>
                <w:rFonts w:ascii="Arial" w:hAnsi="Arial"/>
                <w:color w:val="1C1917"/>
                <w:sz w:val="16"/>
              </w:rPr>
              <w:t>⭐⭐⭐ (暫不建議，預算偏高)</w:t>
            </w:r>
          </w:p>
        </w:tc>
      </w:tr>
    </w:tbl>
    <w:p>
      <w:pPr>
        <w:spacing w:after="80"/>
      </w:pPr>
    </w:p>
    <w:p>
      <w:r>
        <w:br w:type="page"/>
      </w:r>
    </w:p>
    <w:p>
      <w:pPr>
        <w:spacing w:before="160" w:after="80"/>
      </w:pPr>
      <w:r>
        <w:rPr>
          <w:rFonts w:ascii="Arial" w:hAnsi="Arial"/>
          <w:b/>
          <w:color w:val="D97706"/>
          <w:sz w:val="22"/>
        </w:rPr>
        <w:t xml:space="preserve">【第四章：API 平台】 </w:t>
      </w:r>
      <w:r>
        <w:rPr>
          <w:rFonts w:ascii="Arial" w:hAnsi="Arial"/>
          <w:b/>
          <w:color w:val="A83212"/>
          <w:sz w:val="30"/>
        </w:rPr>
        <w:t>4.3 C# .NET 8 Web API 標準分層（Controller-Service-Repository）</w:t>
      </w:r>
    </w:p>
    <w:p>
      <w:pPr>
        <w:spacing w:before="0" w:after="200"/>
      </w:pPr>
      <w:r>
        <w:rPr>
          <w:rFonts w:ascii="Arial" w:hAnsi="Arial"/>
          <w:i/>
          <w:color w:val="78716C"/>
          <w:sz w:val="19"/>
        </w:rPr>
        <w:t>C# .NET 8 Architectural Guidelines · Layered Separation of Concerns</w:t>
      </w:r>
    </w:p>
    <w:p>
      <w:pPr>
        <w:spacing w:before="0" w:after="120" w:line="276" w:lineRule="auto"/>
      </w:pPr>
      <w:r>
        <w:rPr>
          <w:rFonts w:ascii="Arial" w:hAnsi="Arial"/>
          <w:color w:val="1C1917"/>
          <w:sz w:val="19"/>
        </w:rPr>
        <w:t>為徹底消滅過去『一支 Controller 寫 2000 行、裡面混雜 SQL 語句與商業運算』的惡習，第一階段正式頒布《信源 C# .NET 8 Web API 標準架構規範》，嚴格落實三層職責分離（Separation of Concerns, SoC）：</w:t>
      </w:r>
    </w:p>
    <w:p>
      <w:pPr>
        <w:pStyle w:val="ListBullet"/>
        <w:spacing w:before="0" w:after="60" w:line="269" w:lineRule="auto"/>
      </w:pPr>
      <w:r>
        <w:rPr>
          <w:rFonts w:ascii="Arial" w:hAnsi="Arial"/>
          <w:b/>
          <w:color w:val="1C1917"/>
          <w:sz w:val="18"/>
        </w:rPr>
        <w:t>1. Controller 層 (API 入口網關)：</w:t>
      </w:r>
      <w:r>
        <w:rPr>
          <w:rFonts w:ascii="Arial" w:hAnsi="Arial"/>
          <w:color w:val="1C1917"/>
          <w:sz w:val="18"/>
        </w:rPr>
        <w:t>僅負責接收 HTTP 請求、模型驗證（Model Validation）與轉發。Controller 內**嚴禁注入 DbContext，嚴禁出現任何 SQL 查詢語句，嚴禁撰寫成衣扣料計算**！只能調用 Service 介面並回傳統一信封。</w:t>
      </w:r>
    </w:p>
    <w:p>
      <w:pPr>
        <w:pStyle w:val="ListBullet"/>
        <w:spacing w:before="0" w:after="60" w:line="269" w:lineRule="auto"/>
      </w:pPr>
      <w:r>
        <w:rPr>
          <w:rFonts w:ascii="Arial" w:hAnsi="Arial"/>
          <w:b/>
          <w:color w:val="1C1917"/>
          <w:sz w:val="18"/>
        </w:rPr>
        <w:t>2. Service 層 (純商業邏輯中樞)：</w:t>
      </w:r>
      <w:r>
        <w:rPr>
          <w:rFonts w:ascii="Arial" w:hAnsi="Arial"/>
          <w:color w:val="1C1917"/>
          <w:sz w:val="18"/>
        </w:rPr>
        <w:t>承載集團成衣業務靈魂。包含 4-Gate 產前門禁策略驗證、布料算料公式、計件工資核算、呼叫外部 AI 向量比對。Service 層不依賴任何特定的 HTTP 上下文，方便編寫單元測試。</w:t>
      </w:r>
    </w:p>
    <w:p>
      <w:pPr>
        <w:pStyle w:val="ListBullet"/>
        <w:spacing w:before="0" w:after="60" w:line="269" w:lineRule="auto"/>
      </w:pPr>
      <w:r>
        <w:rPr>
          <w:rFonts w:ascii="Arial" w:hAnsi="Arial"/>
          <w:b/>
          <w:color w:val="1C1917"/>
          <w:sz w:val="18"/>
        </w:rPr>
        <w:t>3. Repository 層 (資料存取與交易)：</w:t>
      </w:r>
      <w:r>
        <w:rPr>
          <w:rFonts w:ascii="Arial" w:hAnsi="Arial"/>
          <w:color w:val="1C1917"/>
          <w:sz w:val="18"/>
        </w:rPr>
        <w:t>專注於資料持久化存取。封裝 Dapper 或 Entity Framework Core，將所有 SQL 語句限制在 Repository 內部，並透過 Unit of Work 模式統一掌控資料庫交易的一致性。</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【架構分層剛性鐵律】</w:t>
              <w:br/>
            </w:r>
            <w:r>
              <w:rPr>
                <w:rFonts w:ascii="Arial" w:hAnsi="Arial"/>
                <w:color w:val="1C1917"/>
                <w:sz w:val="18"/>
              </w:rPr>
              <w:t>三層架構是程式碼質量的底線。只有將業務邏輯與資料庫存取徹底剝離，未來的 AI 審查工具（如 Copilot / SonarQube）才能精準辨識架構越界違規。</w:t>
            </w:r>
          </w:p>
        </w:tc>
      </w:tr>
    </w:tbl>
    <w:p>
      <w:pPr>
        <w:spacing w:after="80"/>
      </w:pPr>
    </w:p>
    <w:p>
      <w:r>
        <w:br w:type="page"/>
      </w:r>
    </w:p>
    <w:p>
      <w:pPr>
        <w:spacing w:before="160" w:after="80"/>
      </w:pPr>
      <w:r>
        <w:rPr>
          <w:rFonts w:ascii="Arial" w:hAnsi="Arial"/>
          <w:b/>
          <w:color w:val="D97706"/>
          <w:sz w:val="22"/>
        </w:rPr>
        <w:t xml:space="preserve">【第四章：API 平台】 </w:t>
      </w:r>
      <w:r>
        <w:rPr>
          <w:rFonts w:ascii="Arial" w:hAnsi="Arial"/>
          <w:b/>
          <w:color w:val="A83212"/>
          <w:sz w:val="30"/>
        </w:rPr>
        <w:t>4.4 統一回傳信封模式（ApiResponse 與 Result Pattern）代碼規格</w:t>
      </w:r>
    </w:p>
    <w:p>
      <w:pPr>
        <w:spacing w:before="0" w:after="200"/>
      </w:pPr>
      <w:r>
        <w:rPr>
          <w:rFonts w:ascii="Arial" w:hAnsi="Arial"/>
          <w:i/>
          <w:color w:val="78716C"/>
          <w:sz w:val="19"/>
        </w:rPr>
        <w:t>Standard Response Envelope · ApiResponse&lt;T&gt; &amp; Result Pattern Spec</w:t>
      </w:r>
    </w:p>
    <w:p>
      <w:pPr>
        <w:spacing w:before="0" w:after="120" w:line="276" w:lineRule="auto"/>
      </w:pPr>
      <w:r>
        <w:rPr>
          <w:rFonts w:ascii="Arial" w:hAnsi="Arial"/>
          <w:color w:val="1C1917"/>
          <w:sz w:val="19"/>
        </w:rPr>
        <w:t>跨系統對接最怕『各支 API 回傳格式隨興定義』：成功時有的回傳 `{ data: [] }`，有的直接回陣列，失敗時有的回傳字串，有的回傳 HTML 錯誤頁。第一階段規範全集團所有微軟 API **100% 強制包裹於 `ApiResponse&lt;T&gt;` 統一信封中**：</w:t>
      </w:r>
    </w:p>
    <w:p>
      <w:pPr>
        <w:spacing w:before="0" w:after="120" w:line="276" w:lineRule="auto"/>
      </w:pPr>
      <w:r>
        <w:rPr>
          <w:rFonts w:ascii="Arial" w:hAnsi="Arial"/>
          <w:b/>
          <w:color w:val="1C1917"/>
          <w:sz w:val="19"/>
        </w:rPr>
        <w:t>C# 程式碼規格：</w:t>
      </w:r>
      <w:r>
        <w:rPr>
          <w:rFonts w:ascii="Arial" w:hAnsi="Arial"/>
          <w:color w:val="1C1917"/>
          <w:sz w:val="19"/>
        </w:rPr>
        <w:t>標準信封 C# 泛型定義範例：</w:t>
      </w:r>
    </w:p>
    <w:p>
      <w:pPr>
        <w:spacing w:before="0" w:after="160" w:line="276" w:lineRule="auto"/>
      </w:pPr>
      <w:r>
        <w:rPr>
          <w:rFonts w:ascii="Arial" w:hAnsi="Arial"/>
          <w:color w:val="1C1917"/>
          <w:sz w:val="19"/>
        </w:rPr>
        <w:t>public class ApiResponse&lt;T&gt; {</w:t>
        <w:br/>
        <w:t xml:space="preserve">    public bool Success { get; set; }          // 呼叫是否成功 (true/false)</w:t>
        <w:br/>
        <w:t xml:space="preserve">    public string Code { get; set; }           // 集團標準狀態代碼 (如 SUCCESS, GATE_FAILED)</w:t>
        <w:br/>
        <w:t xml:space="preserve">    public string Message { get; set; }        // 人類可讀說明或異常提示</w:t>
        <w:br/>
        <w:t xml:space="preserve">    public T Data { get; set; }                // 實際業務資料 Payload (強型別)</w:t>
        <w:br/>
        <w:t xml:space="preserve">    public string TraceId { get; set; }         // 跨國追蹤 ID (UUID，全鏈路日誌穿透)</w:t>
        <w:br/>
        <w:t xml:space="preserve">    public DateTime Timestamp { get; set; } = DateTime.UtcNow;</w:t>
        <w:br/>
        <w:t>}</w:t>
      </w:r>
    </w:p>
    <w:p>
      <w:pPr>
        <w:pStyle w:val="ListBullet"/>
        <w:spacing w:before="0" w:after="60" w:line="269" w:lineRule="auto"/>
      </w:pPr>
      <w:r>
        <w:rPr>
          <w:rFonts w:ascii="Arial" w:hAnsi="Arial"/>
          <w:b/>
          <w:color w:val="1C1917"/>
          <w:sz w:val="18"/>
        </w:rPr>
        <w:t>前端解析零負擔：</w:t>
      </w:r>
      <w:r>
        <w:rPr>
          <w:rFonts w:ascii="Arial" w:hAnsi="Arial"/>
          <w:color w:val="1C1917"/>
          <w:sz w:val="18"/>
        </w:rPr>
        <w:t>前端（Vue 3）與海外三廠工控機只需撰寫一套通用 Axios 攔截器，即可統一處理所有 API 的錯誤提示與 Token 刷新。</w:t>
      </w:r>
    </w:p>
    <w:p>
      <w:pPr>
        <w:pStyle w:val="ListBullet"/>
        <w:spacing w:before="0" w:after="60" w:line="269" w:lineRule="auto"/>
      </w:pPr>
      <w:r>
        <w:rPr>
          <w:rFonts w:ascii="Arial" w:hAnsi="Arial"/>
          <w:b/>
          <w:color w:val="1C1917"/>
          <w:sz w:val="18"/>
        </w:rPr>
        <w:t>全鏈路除錯無死角：</w:t>
      </w:r>
      <w:r>
        <w:rPr>
          <w:rFonts w:ascii="Arial" w:hAnsi="Arial"/>
          <w:color w:val="1C1917"/>
          <w:sz w:val="18"/>
        </w:rPr>
        <w:t>透過 TraceId 貫穿總部 API Gateway、中台微服務與海外廠邊緣節點，發生跨國調用故障時，輸入 TraceId 即可在 3 秒內定位出出錯的程式碼行數。</w:t>
      </w:r>
    </w:p>
    <w:p>
      <w:r>
        <w:br w:type="page"/>
      </w:r>
    </w:p>
    <w:p>
      <w:pPr>
        <w:spacing w:before="160" w:after="80"/>
      </w:pPr>
      <w:r>
        <w:rPr>
          <w:rFonts w:ascii="Arial" w:hAnsi="Arial"/>
          <w:b/>
          <w:color w:val="D97706"/>
          <w:sz w:val="22"/>
        </w:rPr>
        <w:t xml:space="preserve">【第四章：API 平台】 </w:t>
      </w:r>
      <w:r>
        <w:rPr>
          <w:rFonts w:ascii="Arial" w:hAnsi="Arial"/>
          <w:b/>
          <w:color w:val="A83212"/>
          <w:sz w:val="30"/>
        </w:rPr>
        <w:t>4.5 交易一致性工作單元（Unit of Work &amp; SqlTransaction 鎖定機制）</w:t>
      </w:r>
    </w:p>
    <w:p>
      <w:pPr>
        <w:spacing w:before="0" w:after="200"/>
      </w:pPr>
      <w:r>
        <w:rPr>
          <w:rFonts w:ascii="Arial" w:hAnsi="Arial"/>
          <w:i/>
          <w:color w:val="78716C"/>
          <w:sz w:val="19"/>
        </w:rPr>
        <w:t>Transaction Integrity · Unit of Work Pattern &amp; SqlTransaction Control</w:t>
      </w:r>
    </w:p>
    <w:p>
      <w:pPr>
        <w:spacing w:before="0" w:after="120" w:line="276" w:lineRule="auto"/>
      </w:pPr>
      <w:r>
        <w:rPr>
          <w:rFonts w:ascii="Arial" w:hAnsi="Arial"/>
          <w:color w:val="1C1917"/>
          <w:sz w:val="19"/>
        </w:rPr>
        <w:t>成衣工廠車間在進行『工單開裁、物料扣庫、車縫計件入帳』時，涉及多張資料表的連鎖異動。若缺乏嚴格的交易控制，一旦在扣料成功後、寫入計件記錄前遭遇伺服器斷電或網路逾時，資料庫將產生災難性的『髒資料（Dirty Data）』。</w:t>
      </w:r>
    </w:p>
    <w:p>
      <w:pPr>
        <w:spacing w:before="0" w:after="120" w:line="276" w:lineRule="auto"/>
      </w:pPr>
      <w:r>
        <w:rPr>
          <w:rFonts w:ascii="Arial" w:hAnsi="Arial"/>
          <w:color w:val="1C1917"/>
          <w:sz w:val="19"/>
        </w:rPr>
        <w:t>第一階段架構規範明定：**凡涉及跨表異動之成衣業務，必須強制套用工作單元（Unit of Work）模式**，透過顯式的 `SqlTransaction` 包裹：</w:t>
      </w:r>
    </w:p>
    <w:p>
      <w:pPr>
        <w:pStyle w:val="ListBullet"/>
        <w:spacing w:before="0" w:after="60" w:line="269" w:lineRule="auto"/>
      </w:pPr>
      <w:r>
        <w:rPr>
          <w:rFonts w:ascii="Arial" w:hAnsi="Arial"/>
          <w:b/>
          <w:color w:val="1C1917"/>
          <w:sz w:val="18"/>
        </w:rPr>
        <w:t>1. 原子性 (Atomicity) 剛性保障：</w:t>
      </w:r>
      <w:r>
        <w:rPr>
          <w:rFonts w:ascii="Arial" w:hAnsi="Arial"/>
          <w:color w:val="1C1917"/>
          <w:sz w:val="18"/>
        </w:rPr>
        <w:t>確保扣料與計件『要嘛全部成功寫入，要嘛全部乾脆還原（Rollback）』，絕不允許半套成功留在資料庫中。</w:t>
      </w:r>
    </w:p>
    <w:p>
      <w:pPr>
        <w:pStyle w:val="ListBullet"/>
        <w:spacing w:before="0" w:after="60" w:line="269" w:lineRule="auto"/>
      </w:pPr>
      <w:r>
        <w:rPr>
          <w:rFonts w:ascii="Arial" w:hAnsi="Arial"/>
          <w:b/>
          <w:color w:val="1C1917"/>
          <w:sz w:val="18"/>
        </w:rPr>
        <w:t>2. 高並發防死鎖隔離：</w:t>
      </w:r>
      <w:r>
        <w:rPr>
          <w:rFonts w:ascii="Arial" w:hAnsi="Arial"/>
          <w:color w:val="1C1917"/>
          <w:sz w:val="18"/>
        </w:rPr>
        <w:t>針對高並發之工序計件與裁片掃描，採用 SQL Server 之 `READ COMMITTED SNAPSHOT (RCSI)` 隔離等級，讀寫不互卡，杜絕高頻更新時引發的資料庫死鎖（Deadlock）。</w:t>
      </w:r>
    </w:p>
    <w:p>
      <w:pPr>
        <w:pStyle w:val="ListBullet"/>
        <w:spacing w:before="0" w:after="60" w:line="269" w:lineRule="auto"/>
      </w:pPr>
      <w:r>
        <w:rPr>
          <w:rFonts w:ascii="Arial" w:hAnsi="Arial"/>
          <w:b/>
          <w:color w:val="1C1917"/>
          <w:sz w:val="18"/>
        </w:rPr>
        <w:t>3. 業務代碼解耦：</w:t>
      </w:r>
      <w:r>
        <w:rPr>
          <w:rFonts w:ascii="Arial" w:hAnsi="Arial"/>
          <w:color w:val="1C1917"/>
          <w:sz w:val="18"/>
        </w:rPr>
        <w:t>在 Repository 層將交易控制封裝，禁止業務 Service 層直接操作 SQL 連線字串，維護代碼純淨度。</w:t>
      </w:r>
    </w:p>
    <w:p>
      <w:r>
        <w:br w:type="page"/>
      </w:r>
    </w:p>
    <w:p>
      <w:pPr>
        <w:spacing w:before="160" w:after="80"/>
      </w:pPr>
      <w:r>
        <w:rPr>
          <w:rFonts w:ascii="Arial" w:hAnsi="Arial"/>
          <w:b/>
          <w:color w:val="D97706"/>
          <w:sz w:val="22"/>
        </w:rPr>
        <w:t xml:space="preserve">【第四章：API 平台】 </w:t>
      </w:r>
      <w:r>
        <w:rPr>
          <w:rFonts w:ascii="Arial" w:hAnsi="Arial"/>
          <w:b/>
          <w:color w:val="A83212"/>
          <w:sz w:val="30"/>
        </w:rPr>
        <w:t>4.6 強型別組態綁定（Options Pattern）與連線字串安全封裝</w:t>
      </w:r>
    </w:p>
    <w:p>
      <w:pPr>
        <w:spacing w:before="0" w:after="200"/>
      </w:pPr>
      <w:r>
        <w:rPr>
          <w:rFonts w:ascii="Arial" w:hAnsi="Arial"/>
          <w:i/>
          <w:color w:val="78716C"/>
          <w:sz w:val="19"/>
        </w:rPr>
        <w:t>Secure Configuration · Microsoft Options Pattern &amp; Secret Isolation</w:t>
      </w:r>
    </w:p>
    <w:p>
      <w:pPr>
        <w:spacing w:before="0" w:after="120" w:line="276" w:lineRule="auto"/>
      </w:pPr>
      <w:r>
        <w:rPr>
          <w:rFonts w:ascii="Arial" w:hAnsi="Arial"/>
          <w:color w:val="1C1917"/>
          <w:sz w:val="19"/>
        </w:rPr>
        <w:t>過去檢視舊版 .NET 4.8 代碼時，常發現工程師在代碼中以 `ConfigurationManager.AppSettings["DBConn"]` 明文寫死資料庫帳密，或是直接 hardcode 在程式碼中，嚴重違反證券交易所《上市上櫃公司資通安全管控指引》。</w:t>
      </w:r>
    </w:p>
    <w:p>
      <w:pPr>
        <w:spacing w:before="0" w:after="120" w:line="276" w:lineRule="auto"/>
      </w:pPr>
      <w:r>
        <w:rPr>
          <w:rFonts w:ascii="Arial" w:hAnsi="Arial"/>
          <w:color w:val="1C1917"/>
          <w:sz w:val="19"/>
        </w:rPr>
        <w:t>第一階段全面推行微軟官方推薦的 **強型別選項模式（Options Pattern, `IOptions&lt;T&gt;`）**：</w:t>
      </w:r>
    </w:p>
    <w:p>
      <w:pPr>
        <w:pStyle w:val="ListBullet"/>
        <w:spacing w:before="0" w:after="60" w:line="269" w:lineRule="auto"/>
      </w:pPr>
      <w:r>
        <w:rPr>
          <w:rFonts w:ascii="Arial" w:hAnsi="Arial"/>
          <w:b/>
          <w:color w:val="1C1917"/>
          <w:sz w:val="18"/>
        </w:rPr>
        <w:t>強型別配置綁定：</w:t>
      </w:r>
      <w:r>
        <w:rPr>
          <w:rFonts w:ascii="Arial" w:hAnsi="Arial"/>
          <w:color w:val="1C1917"/>
          <w:sz w:val="18"/>
        </w:rPr>
        <w:t>在 `appsettings.json` 中定義結構化階層組態，並在 C# 中建立對應的強型別 POCO 類別（如 `DatabaseConfig`、`AwsAiConfig`），透過依賴注入 `IOptions&lt;T&gt;` 注入各服務，獲得編譯期型別檢查保護。</w:t>
      </w:r>
    </w:p>
    <w:p>
      <w:pPr>
        <w:pStyle w:val="ListBullet"/>
        <w:spacing w:before="0" w:after="60" w:line="269" w:lineRule="auto"/>
      </w:pPr>
      <w:r>
        <w:rPr>
          <w:rFonts w:ascii="Arial" w:hAnsi="Arial"/>
          <w:b/>
          <w:color w:val="1C1917"/>
          <w:sz w:val="18"/>
        </w:rPr>
        <w:t>機敏金鑰徹底隔離：</w:t>
      </w:r>
      <w:r>
        <w:rPr>
          <w:rFonts w:ascii="Arial" w:hAnsi="Arial"/>
          <w:color w:val="1C1917"/>
          <w:sz w:val="18"/>
        </w:rPr>
        <w:t>開發環境使用 `dotnet user-secrets`，正式生產環境透過環境變數或 Azure Key Vault 注入連線字串。GitLab 倉庫中**一律不允許出現任何包含明文密碼之設定檔**！</w:t>
      </w:r>
    </w:p>
    <w:p>
      <w:pPr>
        <w:pStyle w:val="ListBullet"/>
        <w:spacing w:before="0" w:after="60" w:line="269" w:lineRule="auto"/>
      </w:pPr>
      <w:r>
        <w:rPr>
          <w:rFonts w:ascii="Arial" w:hAnsi="Arial"/>
          <w:b/>
          <w:color w:val="1C1917"/>
          <w:sz w:val="18"/>
        </w:rPr>
        <w:t>動態無中斷重載：</w:t>
      </w:r>
      <w:r>
        <w:rPr>
          <w:rFonts w:ascii="Arial" w:hAnsi="Arial"/>
          <w:color w:val="1C1917"/>
          <w:sz w:val="18"/>
        </w:rPr>
        <w:t>支援組態動態重新載入（`IOptionsSnapshot&lt;T&gt;`），在微調逾時時間或限流閥值時，無需重啟 API 伺服器。</w:t>
      </w:r>
    </w:p>
    <w:p>
      <w:r>
        <w:br w:type="page"/>
      </w:r>
    </w:p>
    <w:p>
      <w:pPr>
        <w:spacing w:before="160" w:after="80"/>
      </w:pPr>
      <w:r>
        <w:rPr>
          <w:rFonts w:ascii="Arial" w:hAnsi="Arial"/>
          <w:b/>
          <w:color w:val="D97706"/>
          <w:sz w:val="22"/>
        </w:rPr>
        <w:t xml:space="preserve">【第四章：API 平台】 </w:t>
      </w:r>
      <w:r>
        <w:rPr>
          <w:rFonts w:ascii="Arial" w:hAnsi="Arial"/>
          <w:b/>
          <w:color w:val="A83212"/>
          <w:sz w:val="30"/>
        </w:rPr>
        <w:t>4.7 全域例外過濾器（Global Exception Filter）與標準 ProblemDetails</w:t>
      </w:r>
    </w:p>
    <w:p>
      <w:pPr>
        <w:spacing w:before="0" w:after="200"/>
      </w:pPr>
      <w:r>
        <w:rPr>
          <w:rFonts w:ascii="Arial" w:hAnsi="Arial"/>
          <w:i/>
          <w:color w:val="78716C"/>
          <w:sz w:val="19"/>
        </w:rPr>
        <w:t>Robust Error Handling · Global Exception Filters &amp; RFC 7807 ProblemDetails</w:t>
      </w:r>
    </w:p>
    <w:p>
      <w:pPr>
        <w:spacing w:before="0" w:after="120" w:line="276" w:lineRule="auto"/>
      </w:pPr>
      <w:r>
        <w:rPr>
          <w:rFonts w:ascii="Arial" w:hAnsi="Arial"/>
          <w:color w:val="1C1917"/>
          <w:sz w:val="19"/>
        </w:rPr>
        <w:t>未經妥善防護的 API 伺服器在發生非預期錯誤（如 NullReferenceException 或 SQL 連線失敗）時，常會直接向客戶端吐出包含資料庫表結構、程式碼行數與伺服器路徑的黃底黑字堆疊追蹤（Stack Trace），成為黑客發動攻擊的情報來源。</w:t>
      </w:r>
    </w:p>
    <w:p>
      <w:pPr>
        <w:spacing w:before="0" w:after="120" w:line="276" w:lineRule="auto"/>
      </w:pPr>
      <w:r>
        <w:rPr>
          <w:rFonts w:ascii="Arial" w:hAnsi="Arial"/>
          <w:color w:val="1C1917"/>
          <w:sz w:val="19"/>
        </w:rPr>
        <w:t>第一階段建立全域例外過濾器（Global Exception Filter）管制機制：</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例外錯誤情境</w:t>
            </w:r>
          </w:p>
        </w:tc>
        <w:tc>
          <w:tcPr>
            <w:tcW w:type="dxa" w:w="3168"/>
            <w:shd w:fill="F5EFEB"/>
            <w:tcMar>
              <w:top w:w="80" w:type="dxa"/>
              <w:bottom w:w="80" w:type="dxa"/>
              <w:left w:w="100" w:type="dxa"/>
              <w:right w:w="100" w:type="dxa"/>
            </w:tcMar>
          </w:tcPr>
          <w:p>
            <w:r>
              <w:rPr>
                <w:rFonts w:ascii="Arial" w:hAnsi="Arial"/>
                <w:b/>
                <w:color w:val="A83212"/>
                <w:sz w:val="17"/>
              </w:rPr>
              <w:t>底層攔截與處理行為</w:t>
            </w:r>
          </w:p>
        </w:tc>
        <w:tc>
          <w:tcPr>
            <w:tcW w:type="dxa" w:w="2592"/>
            <w:shd w:fill="F5EFEB"/>
            <w:tcMar>
              <w:top w:w="80" w:type="dxa"/>
              <w:bottom w:w="80" w:type="dxa"/>
              <w:left w:w="100" w:type="dxa"/>
              <w:right w:w="100" w:type="dxa"/>
            </w:tcMar>
          </w:tcPr>
          <w:p>
            <w:r>
              <w:rPr>
                <w:rFonts w:ascii="Arial" w:hAnsi="Arial"/>
                <w:b/>
                <w:color w:val="A83212"/>
                <w:sz w:val="17"/>
              </w:rPr>
              <w:t>對外客戶端回傳規格 (RFC 7807)</w:t>
            </w:r>
          </w:p>
        </w:tc>
        <w:tc>
          <w:tcPr>
            <w:tcW w:type="dxa" w:w="2016"/>
            <w:shd w:fill="F5EFEB"/>
            <w:tcMar>
              <w:top w:w="80" w:type="dxa"/>
              <w:bottom w:w="80" w:type="dxa"/>
              <w:left w:w="100" w:type="dxa"/>
              <w:right w:w="100" w:type="dxa"/>
            </w:tcMar>
          </w:tcPr>
          <w:p>
            <w:r>
              <w:rPr>
                <w:rFonts w:ascii="Arial" w:hAnsi="Arial"/>
                <w:b/>
                <w:color w:val="A83212"/>
                <w:sz w:val="17"/>
              </w:rPr>
              <w:t>內部資安稽核動作</w:t>
            </w:r>
          </w:p>
        </w:tc>
      </w:tr>
      <w:tr>
        <w:tc>
          <w:tcPr>
            <w:tcW w:type="dxa" w:w="2592"/>
            <w:shd w:fill="FFFFFF"/>
            <w:tcMar>
              <w:top w:w="60" w:type="dxa"/>
              <w:bottom w:w="60" w:type="dxa"/>
              <w:left w:w="100" w:type="dxa"/>
              <w:right w:w="100" w:type="dxa"/>
            </w:tcMar>
          </w:tcPr>
          <w:p>
            <w:r>
              <w:rPr>
                <w:rFonts w:ascii="Arial" w:hAnsi="Arial"/>
                <w:color w:val="1C1917"/>
                <w:sz w:val="16"/>
              </w:rPr>
              <w:t>業務邏輯驗證失敗</w:t>
              <w:br/>
              <w:t>(如 4-Gate 齊套未過)</w:t>
            </w:r>
          </w:p>
        </w:tc>
        <w:tc>
          <w:tcPr>
            <w:tcW w:type="dxa" w:w="3168"/>
            <w:shd w:fill="FFFFFF"/>
            <w:tcMar>
              <w:top w:w="60" w:type="dxa"/>
              <w:bottom w:w="60" w:type="dxa"/>
              <w:left w:w="100" w:type="dxa"/>
              <w:right w:w="100" w:type="dxa"/>
            </w:tcMar>
          </w:tcPr>
          <w:p>
            <w:r>
              <w:rPr>
                <w:rFonts w:ascii="Arial" w:hAnsi="Arial"/>
                <w:color w:val="1C1917"/>
                <w:sz w:val="16"/>
              </w:rPr>
              <w:t>拋出客製 BusinessException，</w:t>
              <w:br/>
              <w:t>標明具體未達標之門禁原因。</w:t>
            </w:r>
          </w:p>
        </w:tc>
        <w:tc>
          <w:tcPr>
            <w:tcW w:type="dxa" w:w="2592"/>
            <w:shd w:fill="FFFFFF"/>
            <w:tcMar>
              <w:top w:w="60" w:type="dxa"/>
              <w:bottom w:w="60" w:type="dxa"/>
              <w:left w:w="100" w:type="dxa"/>
              <w:right w:w="100" w:type="dxa"/>
            </w:tcMar>
          </w:tcPr>
          <w:p>
            <w:r>
              <w:rPr>
                <w:rFonts w:ascii="Arial" w:hAnsi="Arial"/>
                <w:color w:val="1C1917"/>
                <w:sz w:val="16"/>
              </w:rPr>
              <w:t>HTTP 400 Bad Request</w:t>
              <w:br/>
              <w:t>回傳標準 ApiResponse (Code: GATE_UNREADY)</w:t>
            </w:r>
          </w:p>
        </w:tc>
        <w:tc>
          <w:tcPr>
            <w:tcW w:type="dxa" w:w="2016"/>
            <w:shd w:fill="FFFFFF"/>
            <w:tcMar>
              <w:top w:w="60" w:type="dxa"/>
              <w:bottom w:w="60" w:type="dxa"/>
              <w:left w:w="100" w:type="dxa"/>
              <w:right w:w="100" w:type="dxa"/>
            </w:tcMar>
          </w:tcPr>
          <w:p>
            <w:r>
              <w:rPr>
                <w:rFonts w:ascii="Arial" w:hAnsi="Arial"/>
                <w:color w:val="1C1917"/>
                <w:sz w:val="16"/>
              </w:rPr>
              <w:t>記錄業務日誌，不發出系統警報。</w:t>
            </w:r>
          </w:p>
        </w:tc>
      </w:tr>
      <w:tr>
        <w:tc>
          <w:tcPr>
            <w:tcW w:type="dxa" w:w="2592"/>
            <w:shd w:fill="FAFAF9"/>
            <w:tcMar>
              <w:top w:w="60" w:type="dxa"/>
              <w:bottom w:w="60" w:type="dxa"/>
              <w:left w:w="100" w:type="dxa"/>
              <w:right w:w="100" w:type="dxa"/>
            </w:tcMar>
          </w:tcPr>
          <w:p>
            <w:r>
              <w:rPr>
                <w:rFonts w:ascii="Arial" w:hAnsi="Arial"/>
                <w:color w:val="1C1917"/>
                <w:sz w:val="16"/>
              </w:rPr>
              <w:t>跨系統身分越權</w:t>
              <w:br/>
              <w:t>(BOLA 攻擊意圖)</w:t>
            </w:r>
          </w:p>
        </w:tc>
        <w:tc>
          <w:tcPr>
            <w:tcW w:type="dxa" w:w="3168"/>
            <w:shd w:fill="FAFAF9"/>
            <w:tcMar>
              <w:top w:w="60" w:type="dxa"/>
              <w:bottom w:w="60" w:type="dxa"/>
              <w:left w:w="100" w:type="dxa"/>
              <w:right w:w="100" w:type="dxa"/>
            </w:tcMar>
          </w:tcPr>
          <w:p>
            <w:r>
              <w:rPr>
                <w:rFonts w:ascii="Arial" w:hAnsi="Arial"/>
                <w:color w:val="1C1917"/>
                <w:sz w:val="16"/>
              </w:rPr>
              <w:t>拋出 SecurityException，</w:t>
              <w:br/>
              <w:t>即時阻斷連線請求。</w:t>
            </w:r>
          </w:p>
        </w:tc>
        <w:tc>
          <w:tcPr>
            <w:tcW w:type="dxa" w:w="2592"/>
            <w:shd w:fill="FAFAF9"/>
            <w:tcMar>
              <w:top w:w="60" w:type="dxa"/>
              <w:bottom w:w="60" w:type="dxa"/>
              <w:left w:w="100" w:type="dxa"/>
              <w:right w:w="100" w:type="dxa"/>
            </w:tcMar>
          </w:tcPr>
          <w:p>
            <w:r>
              <w:rPr>
                <w:rFonts w:ascii="Arial" w:hAnsi="Arial"/>
                <w:color w:val="1C1917"/>
                <w:sz w:val="16"/>
              </w:rPr>
              <w:t>HTTP 403 Forbidden</w:t>
              <w:br/>
              <w:t>回傳 ApiResponse (Code: ACCESS_DENIED)</w:t>
            </w:r>
          </w:p>
        </w:tc>
        <w:tc>
          <w:tcPr>
            <w:tcW w:type="dxa" w:w="2016"/>
            <w:shd w:fill="FAFAF9"/>
            <w:tcMar>
              <w:top w:w="60" w:type="dxa"/>
              <w:bottom w:w="60" w:type="dxa"/>
              <w:left w:w="100" w:type="dxa"/>
              <w:right w:w="100" w:type="dxa"/>
            </w:tcMar>
          </w:tcPr>
          <w:p>
            <w:r>
              <w:rPr>
                <w:rFonts w:ascii="Arial" w:hAnsi="Arial"/>
                <w:color w:val="1C1917"/>
                <w:sz w:val="16"/>
              </w:rPr>
              <w:t>★ SOC 安全告警：記錄操作者 IP，列入封鎖名單。</w:t>
            </w:r>
          </w:p>
        </w:tc>
      </w:tr>
      <w:tr>
        <w:tc>
          <w:tcPr>
            <w:tcW w:type="dxa" w:w="2592"/>
            <w:shd w:fill="FFFFFF"/>
            <w:tcMar>
              <w:top w:w="60" w:type="dxa"/>
              <w:bottom w:w="60" w:type="dxa"/>
              <w:left w:w="100" w:type="dxa"/>
              <w:right w:w="100" w:type="dxa"/>
            </w:tcMar>
          </w:tcPr>
          <w:p>
            <w:r>
              <w:rPr>
                <w:rFonts w:ascii="Arial" w:hAnsi="Arial"/>
                <w:color w:val="1C1917"/>
                <w:sz w:val="16"/>
              </w:rPr>
              <w:t>資料庫崩潰 / 非預期例外</w:t>
              <w:br/>
              <w:t>(如 SQL 逾時 / 斷線)</w:t>
            </w:r>
          </w:p>
        </w:tc>
        <w:tc>
          <w:tcPr>
            <w:tcW w:type="dxa" w:w="3168"/>
            <w:shd w:fill="FFFFFF"/>
            <w:tcMar>
              <w:top w:w="60" w:type="dxa"/>
              <w:bottom w:w="60" w:type="dxa"/>
              <w:left w:w="100" w:type="dxa"/>
              <w:right w:w="100" w:type="dxa"/>
            </w:tcMar>
          </w:tcPr>
          <w:p>
            <w:r>
              <w:rPr>
                <w:rFonts w:ascii="Arial" w:hAnsi="Arial"/>
                <w:color w:val="1C1917"/>
                <w:sz w:val="16"/>
              </w:rPr>
              <w:t>捕捉所有未處理之 Exception，</w:t>
              <w:br/>
              <w:t>遮蔽所有內部堆疊資訊。</w:t>
            </w:r>
          </w:p>
        </w:tc>
        <w:tc>
          <w:tcPr>
            <w:tcW w:type="dxa" w:w="2592"/>
            <w:shd w:fill="FFFFFF"/>
            <w:tcMar>
              <w:top w:w="60" w:type="dxa"/>
              <w:bottom w:w="60" w:type="dxa"/>
              <w:left w:w="100" w:type="dxa"/>
              <w:right w:w="100" w:type="dxa"/>
            </w:tcMar>
          </w:tcPr>
          <w:p>
            <w:r>
              <w:rPr>
                <w:rFonts w:ascii="Arial" w:hAnsi="Arial"/>
                <w:color w:val="1C1917"/>
                <w:sz w:val="16"/>
              </w:rPr>
              <w:t>HTTP 500 Internal Error</w:t>
              <w:br/>
              <w:t>回傳統一友善提示：『系統忙碌中，請稍後重試』</w:t>
            </w:r>
          </w:p>
        </w:tc>
        <w:tc>
          <w:tcPr>
            <w:tcW w:type="dxa" w:w="2016"/>
            <w:shd w:fill="FFFFFF"/>
            <w:tcMar>
              <w:top w:w="60" w:type="dxa"/>
              <w:bottom w:w="60" w:type="dxa"/>
              <w:left w:w="100" w:type="dxa"/>
              <w:right w:w="100" w:type="dxa"/>
            </w:tcMar>
          </w:tcPr>
          <w:p>
            <w:r>
              <w:rPr>
                <w:rFonts w:ascii="Arial" w:hAnsi="Arial"/>
                <w:color w:val="1C1917"/>
                <w:sz w:val="16"/>
              </w:rPr>
              <w:t>★ SRE 自動告警：將完整堆疊寫入內部私有日誌，推播 Teams。</w:t>
            </w:r>
          </w:p>
        </w:tc>
      </w:tr>
    </w:tbl>
    <w:p>
      <w:pPr>
        <w:spacing w:after="80"/>
      </w:pPr>
    </w:p>
    <w:p>
      <w:r>
        <w:br w:type="page"/>
      </w:r>
    </w:p>
    <w:p>
      <w:pPr>
        <w:spacing w:before="160" w:after="80"/>
      </w:pPr>
      <w:r>
        <w:rPr>
          <w:rFonts w:ascii="Arial" w:hAnsi="Arial"/>
          <w:b/>
          <w:color w:val="D97706"/>
          <w:sz w:val="22"/>
        </w:rPr>
        <w:t xml:space="preserve">【第四章：API 平台】 </w:t>
      </w:r>
      <w:r>
        <w:rPr>
          <w:rFonts w:ascii="Arial" w:hAnsi="Arial"/>
          <w:b/>
          <w:color w:val="A83212"/>
          <w:sz w:val="30"/>
        </w:rPr>
        <w:t>4.8 API 測試金字塔：xUnit 單元測試、Mock 模擬與自動化驗證</w:t>
      </w:r>
    </w:p>
    <w:p>
      <w:pPr>
        <w:spacing w:before="0" w:after="200"/>
      </w:pPr>
      <w:r>
        <w:rPr>
          <w:rFonts w:ascii="Arial" w:hAnsi="Arial"/>
          <w:i/>
          <w:color w:val="78716C"/>
          <w:sz w:val="19"/>
        </w:rPr>
        <w:t>API Quality Engineering · Test Pyramid, xUnit, Moq &amp; CI/CD Pipelines</w:t>
      </w:r>
    </w:p>
    <w:p>
      <w:pPr>
        <w:spacing w:before="0" w:after="120" w:line="276" w:lineRule="auto"/>
      </w:pPr>
      <w:r>
        <w:rPr>
          <w:rFonts w:ascii="Arial" w:hAnsi="Arial"/>
          <w:color w:val="1C1917"/>
          <w:sz w:val="19"/>
        </w:rPr>
        <w:t>高品質的 API 絕非靠人工手動點擊測試，而是仰賴自動化測試金字塔（Test Pyramid）。在信源的第一階段規範中，正式將自動化測試納入工程師代碼交付的必要門禁（Definition of Done）：</w:t>
      </w:r>
    </w:p>
    <w:p>
      <w:pPr>
        <w:pStyle w:val="ListBullet"/>
        <w:spacing w:before="0" w:after="60" w:line="269" w:lineRule="auto"/>
      </w:pPr>
      <w:r>
        <w:rPr>
          <w:rFonts w:ascii="Arial" w:hAnsi="Arial"/>
          <w:b/>
          <w:color w:val="1C1917"/>
          <w:sz w:val="18"/>
        </w:rPr>
        <w:t>1. 單元測試 (Unit Tests · 底座 70%)：</w:t>
      </w:r>
      <w:r>
        <w:rPr>
          <w:rFonts w:ascii="Arial" w:hAnsi="Arial"/>
          <w:color w:val="1C1917"/>
          <w:sz w:val="18"/>
        </w:rPr>
        <w:t>針對 Service 層所有純商業邏輯（如扣料計算、線平衡公式），採用 **xUnit ＋ FluentAssertions** 編寫單元測試。透過 **Moq** 模擬 Repository 資料庫連線，測試秒級執行完畢，核心模組行覆蓋率要求 &gt; 75%。</w:t>
      </w:r>
    </w:p>
    <w:p>
      <w:pPr>
        <w:pStyle w:val="ListBullet"/>
        <w:spacing w:before="0" w:after="60" w:line="269" w:lineRule="auto"/>
      </w:pPr>
      <w:r>
        <w:rPr>
          <w:rFonts w:ascii="Arial" w:hAnsi="Arial"/>
          <w:b/>
          <w:color w:val="1C1917"/>
          <w:sz w:val="18"/>
        </w:rPr>
        <w:t>2. 整合測試 (Integration Tests · 中層 20%)：</w:t>
      </w:r>
      <w:r>
        <w:rPr>
          <w:rFonts w:ascii="Arial" w:hAnsi="Arial"/>
          <w:color w:val="1C1917"/>
          <w:sz w:val="18"/>
        </w:rPr>
        <w:t>使用 ASP.NET Core 內建的 `WebApplicationFactory&lt;Program&gt;`，在記憶體中啟動完整 HTTP 管道，以真實 JSON 呼叫 API，驗證中介軟體（Middleware）、鑑權與序列化之正確性。</w:t>
      </w:r>
    </w:p>
    <w:p>
      <w:pPr>
        <w:pStyle w:val="ListBullet"/>
        <w:spacing w:before="0" w:after="60" w:line="269" w:lineRule="auto"/>
      </w:pPr>
      <w:r>
        <w:rPr>
          <w:rFonts w:ascii="Arial" w:hAnsi="Arial"/>
          <w:b/>
          <w:color w:val="1C1917"/>
          <w:sz w:val="18"/>
        </w:rPr>
        <w:t>3. 契約測試 (Contract Tests · 頂層 10%)：</w:t>
      </w:r>
      <w:r>
        <w:rPr>
          <w:rFonts w:ascii="Arial" w:hAnsi="Arial"/>
          <w:color w:val="1C1917"/>
          <w:sz w:val="18"/>
        </w:rPr>
        <w:t>使用 OpenAPI / Prism 進行前端與後端的 API 契約比對，嚴禁後端工程師私自更改欄位名稱或資料型別導致前端拋錯。</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【品質測試量化成果】</w:t>
              <w:br/>
            </w:r>
            <w:r>
              <w:rPr>
                <w:rFonts w:ascii="Arial" w:hAnsi="Arial"/>
                <w:color w:val="1C1917"/>
                <w:sz w:val="18"/>
              </w:rPr>
              <w:t>『沒有單元測試保護的代碼，一律視為技術債。』在第一階段試行中，CQS 系統新增了 35 道標準單元測試，使核心檢驗模組的改版回歸測試時間由 2 天縮短為 30 秒！</w:t>
            </w:r>
          </w:p>
        </w:tc>
      </w:tr>
    </w:tbl>
    <w:p>
      <w:pPr>
        <w:spacing w:after="80"/>
      </w:pPr>
    </w:p>
    <w:p>
      <w:r>
        <w:br w:type="page"/>
      </w:r>
    </w:p>
    <w:p>
      <w:pPr>
        <w:spacing w:before="160" w:after="80"/>
      </w:pPr>
      <w:r>
        <w:rPr>
          <w:rFonts w:ascii="Arial" w:hAnsi="Arial"/>
          <w:b/>
          <w:color w:val="D97706"/>
          <w:sz w:val="22"/>
        </w:rPr>
        <w:t xml:space="preserve">【第四章：API 平台】 </w:t>
      </w:r>
      <w:r>
        <w:rPr>
          <w:rFonts w:ascii="Arial" w:hAnsi="Arial"/>
          <w:b/>
          <w:color w:val="A83212"/>
          <w:sz w:val="30"/>
        </w:rPr>
        <w:t>4.9 邊界 WAAP ＋ 旁路 API 資安動態閉環聯防架構</w:t>
      </w:r>
    </w:p>
    <w:p>
      <w:pPr>
        <w:spacing w:before="0" w:after="200"/>
      </w:pPr>
      <w:r>
        <w:rPr>
          <w:rFonts w:ascii="Arial" w:hAnsi="Arial"/>
          <w:i/>
          <w:color w:val="78716C"/>
          <w:sz w:val="19"/>
        </w:rPr>
        <w:t>Dual-Track API Defense · Inline WAAP &amp; Out-of-Band Behavioral Security</w:t>
      </w:r>
    </w:p>
    <w:p>
      <w:pPr>
        <w:spacing w:before="0" w:after="120" w:line="276" w:lineRule="auto"/>
      </w:pPr>
      <w:r>
        <w:rPr>
          <w:rFonts w:ascii="Arial" w:hAnsi="Arial"/>
          <w:color w:val="1C1917"/>
          <w:sz w:val="19"/>
        </w:rPr>
        <w:t>傳統 WAF 只能防禦 SQL 注入或跨站腳本等靜態特徵攻擊，但在成衣外包與跨國 API 對接時，最大的威脅是『拿合法 Token 做非法竊取（BOLA / IDOR 越權）』——例如外包商拿自己的合法帳號，逐步遍歷下載其他品牌客戶的『訂單款式結構圖』或報價單。</w:t>
      </w:r>
    </w:p>
    <w:p>
      <w:pPr>
        <w:spacing w:before="0" w:after="120" w:line="276" w:lineRule="auto"/>
      </w:pPr>
      <w:r>
        <w:rPr>
          <w:rFonts w:ascii="Arial" w:hAnsi="Arial"/>
          <w:color w:val="1C1917"/>
          <w:sz w:val="19"/>
        </w:rPr>
        <w:t>顧問團隊為信源建立了去品牌化之**『在線 WAAP ＋ 旁路 API 安全雙軌聯防架構』**：</w:t>
      </w:r>
    </w:p>
    <w:p>
      <w:pPr>
        <w:pStyle w:val="ListBullet"/>
        <w:spacing w:before="0" w:after="60" w:line="269" w:lineRule="auto"/>
      </w:pPr>
      <w:r>
        <w:rPr>
          <w:rFonts w:ascii="Arial" w:hAnsi="Arial"/>
          <w:b/>
          <w:color w:val="1C1917"/>
          <w:sz w:val="18"/>
        </w:rPr>
        <w:t>軌道一 · 在線 WAAP (Inline Enforcement)：</w:t>
      </w:r>
      <w:r>
        <w:rPr>
          <w:rFonts w:ascii="Arial" w:hAnsi="Arial"/>
          <w:color w:val="1C1917"/>
          <w:sz w:val="18"/>
        </w:rPr>
        <w:t>部署於雲端最外層邊界，負責憑證終卸、DDoS 防刷限流、惡意 IP 封鎖與 OWASP Top 10 靜態防禦，毫秒級放行合法流量。</w:t>
      </w:r>
    </w:p>
    <w:p>
      <w:pPr>
        <w:pStyle w:val="ListBullet"/>
        <w:spacing w:before="0" w:after="60" w:line="269" w:lineRule="auto"/>
      </w:pPr>
      <w:r>
        <w:rPr>
          <w:rFonts w:ascii="Arial" w:hAnsi="Arial"/>
          <w:b/>
          <w:color w:val="1C1917"/>
          <w:sz w:val="18"/>
        </w:rPr>
        <w:t>軌道二 · 旁路威脅大腦 (Out-of-Band Intelligence)：</w:t>
      </w:r>
      <w:r>
        <w:rPr>
          <w:rFonts w:ascii="Arial" w:hAnsi="Arial"/>
          <w:color w:val="1C1917"/>
          <w:sz w:val="18"/>
        </w:rPr>
        <w:t>透過網路鏡像（Traffic Mirroring）旁路監聽全網 API 流量，不增加任何微秒延遲。由機器學習建立每個 API 的正常調用基線（Baseline），當發現某帳號在短時間內調閱異常跨廠工單時，秒級判定為 BOLA 攻擊，並自動動態回饋給在線 WAAP 封殺該連線！</w:t>
      </w:r>
    </w:p>
    <w:p>
      <w:r>
        <w:br w:type="page"/>
      </w:r>
    </w:p>
    <w:p>
      <w:pPr>
        <w:spacing w:before="160" w:after="80"/>
      </w:pPr>
      <w:r>
        <w:rPr>
          <w:rFonts w:ascii="Arial" w:hAnsi="Arial"/>
          <w:b/>
          <w:color w:val="D97706"/>
          <w:sz w:val="22"/>
        </w:rPr>
        <w:t xml:space="preserve">【第四章：API 平台】 </w:t>
      </w:r>
      <w:r>
        <w:rPr>
          <w:rFonts w:ascii="Arial" w:hAnsi="Arial"/>
          <w:b/>
          <w:color w:val="A83212"/>
          <w:sz w:val="30"/>
        </w:rPr>
        <w:t>4.10 OpenAPI 3.0 規格發布與開發者門戶（Developer Portal）</w:t>
      </w:r>
    </w:p>
    <w:p>
      <w:pPr>
        <w:spacing w:before="0" w:after="200"/>
      </w:pPr>
      <w:r>
        <w:rPr>
          <w:rFonts w:ascii="Arial" w:hAnsi="Arial"/>
          <w:i/>
          <w:color w:val="78716C"/>
          <w:sz w:val="19"/>
        </w:rPr>
        <w:t>API Governance · OpenAPI 3.0 Specs, Self-Service Portal &amp; Sandbox</w:t>
      </w:r>
    </w:p>
    <w:p>
      <w:pPr>
        <w:spacing w:before="0" w:after="120" w:line="276" w:lineRule="auto"/>
      </w:pPr>
      <w:r>
        <w:rPr>
          <w:rFonts w:ascii="Arial" w:hAnsi="Arial"/>
          <w:color w:val="1C1917"/>
          <w:sz w:val="19"/>
        </w:rPr>
        <w:t>為徹底消滅過去跨系統介接時『只能靠口頭傳話、或互傳過期 Word 文檔看 API 欄位』的混亂現象，第一階段全面導入標準化 **OpenAPI Specification (OAS 3.0 / Swagger)**：</w:t>
      </w:r>
    </w:p>
    <w:tbl>
      <w:tblPr>
        <w:tblW w:type="auto" w:w="0"/>
        <w:jc w:val="center"/>
        <w:tblLook w:firstColumn="1" w:firstRow="1" w:lastColumn="0" w:lastRow="0" w:noHBand="0" w:noVBand="1" w:val="04A0"/>
      </w:tblPr>
      <w:tblGrid>
        <w:gridCol w:w="3216"/>
        <w:gridCol w:w="3216"/>
        <w:gridCol w:w="3216"/>
      </w:tblGrid>
      <w:tr>
        <w:tc>
          <w:tcPr>
            <w:tcW w:type="dxa" w:w="2592"/>
            <w:shd w:fill="F5EFEB"/>
            <w:tcMar>
              <w:top w:w="80" w:type="dxa"/>
              <w:bottom w:w="80" w:type="dxa"/>
              <w:left w:w="100" w:type="dxa"/>
              <w:right w:w="100" w:type="dxa"/>
            </w:tcMar>
          </w:tcPr>
          <w:p>
            <w:r>
              <w:rPr>
                <w:rFonts w:ascii="Arial" w:hAnsi="Arial"/>
                <w:b/>
                <w:color w:val="A83212"/>
                <w:sz w:val="17"/>
              </w:rPr>
              <w:t>開發者門戶功能</w:t>
            </w:r>
          </w:p>
        </w:tc>
        <w:tc>
          <w:tcPr>
            <w:tcW w:type="dxa" w:w="3744"/>
            <w:shd w:fill="F5EFEB"/>
            <w:tcMar>
              <w:top w:w="80" w:type="dxa"/>
              <w:bottom w:w="80" w:type="dxa"/>
              <w:left w:w="100" w:type="dxa"/>
              <w:right w:w="100" w:type="dxa"/>
            </w:tcMar>
          </w:tcPr>
          <w:p>
            <w:r>
              <w:rPr>
                <w:rFonts w:ascii="Arial" w:hAnsi="Arial"/>
                <w:b/>
                <w:color w:val="A83212"/>
                <w:sz w:val="17"/>
              </w:rPr>
              <w:t>具體技術實現與機制</w:t>
            </w:r>
          </w:p>
        </w:tc>
        <w:tc>
          <w:tcPr>
            <w:tcW w:type="dxa" w:w="4032"/>
            <w:shd w:fill="F5EFEB"/>
            <w:tcMar>
              <w:top w:w="80" w:type="dxa"/>
              <w:bottom w:w="80" w:type="dxa"/>
              <w:left w:w="100" w:type="dxa"/>
              <w:right w:w="100" w:type="dxa"/>
            </w:tcMar>
          </w:tcPr>
          <w:p>
            <w:r>
              <w:rPr>
                <w:rFonts w:ascii="Arial" w:hAnsi="Arial"/>
                <w:b/>
                <w:color w:val="A83212"/>
                <w:sz w:val="17"/>
              </w:rPr>
              <w:t>對跨國與外部協力團隊之效益</w:t>
            </w:r>
          </w:p>
        </w:tc>
      </w:tr>
      <w:tr>
        <w:tc>
          <w:tcPr>
            <w:tcW w:type="dxa" w:w="2592"/>
            <w:shd w:fill="FFFFFF"/>
            <w:tcMar>
              <w:top w:w="60" w:type="dxa"/>
              <w:bottom w:w="60" w:type="dxa"/>
              <w:left w:w="100" w:type="dxa"/>
              <w:right w:w="100" w:type="dxa"/>
            </w:tcMar>
          </w:tcPr>
          <w:p>
            <w:r>
              <w:rPr>
                <w:rFonts w:ascii="Arial" w:hAnsi="Arial"/>
                <w:color w:val="1C1917"/>
                <w:sz w:val="16"/>
              </w:rPr>
              <w:t>自動化即時文檔</w:t>
              <w:br/>
              <w:t>(Live API Docs)</w:t>
            </w:r>
          </w:p>
        </w:tc>
        <w:tc>
          <w:tcPr>
            <w:tcW w:type="dxa" w:w="3744"/>
            <w:shd w:fill="FFFFFF"/>
            <w:tcMar>
              <w:top w:w="60" w:type="dxa"/>
              <w:bottom w:w="60" w:type="dxa"/>
              <w:left w:w="100" w:type="dxa"/>
              <w:right w:w="100" w:type="dxa"/>
            </w:tcMar>
          </w:tcPr>
          <w:p>
            <w:r>
              <w:rPr>
                <w:rFonts w:ascii="Arial" w:hAnsi="Arial"/>
                <w:color w:val="1C1917"/>
                <w:sz w:val="16"/>
              </w:rPr>
              <w:t>C# 代碼中透過 XML 註解與 Swashbuckle，</w:t>
              <w:br/>
              <w:t>編譯時自動產生標準 Swagger UI。</w:t>
            </w:r>
          </w:p>
        </w:tc>
        <w:tc>
          <w:tcPr>
            <w:tcW w:type="dxa" w:w="4032"/>
            <w:shd w:fill="FFFFFF"/>
            <w:tcMar>
              <w:top w:w="60" w:type="dxa"/>
              <w:bottom w:w="60" w:type="dxa"/>
              <w:left w:w="100" w:type="dxa"/>
              <w:right w:w="100" w:type="dxa"/>
            </w:tcMar>
          </w:tcPr>
          <w:p>
            <w:r>
              <w:rPr>
                <w:rFonts w:ascii="Arial" w:hAnsi="Arial"/>
                <w:color w:val="1C1917"/>
                <w:sz w:val="16"/>
              </w:rPr>
              <w:t>代碼一旦更新，文檔保證同步更新，絕不出現過期失真問題。</w:t>
            </w:r>
          </w:p>
        </w:tc>
      </w:tr>
      <w:tr>
        <w:tc>
          <w:tcPr>
            <w:tcW w:type="dxa" w:w="2592"/>
            <w:shd w:fill="FAFAF9"/>
            <w:tcMar>
              <w:top w:w="60" w:type="dxa"/>
              <w:bottom w:w="60" w:type="dxa"/>
              <w:left w:w="100" w:type="dxa"/>
              <w:right w:w="100" w:type="dxa"/>
            </w:tcMar>
          </w:tcPr>
          <w:p>
            <w:r>
              <w:rPr>
                <w:rFonts w:ascii="Arial" w:hAnsi="Arial"/>
                <w:color w:val="1C1917"/>
                <w:sz w:val="16"/>
              </w:rPr>
              <w:t>線上 Mock 測試沙盒</w:t>
              <w:br/>
              <w:t>(Interactive Sandbox)</w:t>
            </w:r>
          </w:p>
        </w:tc>
        <w:tc>
          <w:tcPr>
            <w:tcW w:type="dxa" w:w="3744"/>
            <w:shd w:fill="FAFAF9"/>
            <w:tcMar>
              <w:top w:w="60" w:type="dxa"/>
              <w:bottom w:w="60" w:type="dxa"/>
              <w:left w:w="100" w:type="dxa"/>
              <w:right w:w="100" w:type="dxa"/>
            </w:tcMar>
          </w:tcPr>
          <w:p>
            <w:r>
              <w:rPr>
                <w:rFonts w:ascii="Arial" w:hAnsi="Arial"/>
                <w:color w:val="1C1917"/>
                <w:sz w:val="16"/>
              </w:rPr>
              <w:t>開發者門戶內建 Try It Out 功能，</w:t>
              <w:br/>
              <w:t>支援以測試 Token 實際發送請求與檢視 JSON。</w:t>
            </w:r>
          </w:p>
        </w:tc>
        <w:tc>
          <w:tcPr>
            <w:tcW w:type="dxa" w:w="4032"/>
            <w:shd w:fill="FAFAF9"/>
            <w:tcMar>
              <w:top w:w="60" w:type="dxa"/>
              <w:bottom w:w="60" w:type="dxa"/>
              <w:left w:w="100" w:type="dxa"/>
              <w:right w:w="100" w:type="dxa"/>
            </w:tcMar>
          </w:tcPr>
          <w:p>
            <w:r>
              <w:rPr>
                <w:rFonts w:ascii="Arial" w:hAnsi="Arial"/>
                <w:color w:val="1C1917"/>
                <w:sz w:val="16"/>
              </w:rPr>
              <w:t>前端工程師與海外廠外包 SI 無需打擾後端，即可在線上完成自助測試。</w:t>
            </w:r>
          </w:p>
        </w:tc>
      </w:tr>
      <w:tr>
        <w:tc>
          <w:tcPr>
            <w:tcW w:type="dxa" w:w="2592"/>
            <w:shd w:fill="FFFFFF"/>
            <w:tcMar>
              <w:top w:w="60" w:type="dxa"/>
              <w:bottom w:w="60" w:type="dxa"/>
              <w:left w:w="100" w:type="dxa"/>
              <w:right w:w="100" w:type="dxa"/>
            </w:tcMar>
          </w:tcPr>
          <w:p>
            <w:r>
              <w:rPr>
                <w:rFonts w:ascii="Arial" w:hAnsi="Arial"/>
                <w:color w:val="1C1917"/>
                <w:sz w:val="16"/>
              </w:rPr>
              <w:t>權限與版本管制</w:t>
              <w:br/>
              <w:t>(Versioning &amp; Scopes)</w:t>
            </w:r>
          </w:p>
        </w:tc>
        <w:tc>
          <w:tcPr>
            <w:tcW w:type="dxa" w:w="3744"/>
            <w:shd w:fill="FFFFFF"/>
            <w:tcMar>
              <w:top w:w="60" w:type="dxa"/>
              <w:bottom w:w="60" w:type="dxa"/>
              <w:left w:w="100" w:type="dxa"/>
              <w:right w:w="100" w:type="dxa"/>
            </w:tcMar>
          </w:tcPr>
          <w:p>
            <w:r>
              <w:rPr>
                <w:rFonts w:ascii="Arial" w:hAnsi="Arial"/>
                <w:color w:val="1C1917"/>
                <w:sz w:val="16"/>
              </w:rPr>
              <w:t>API 實施 URI 版本化（如 `/api/v1/orders`），</w:t>
              <w:br/>
              <w:t>嚴格以 OAuth2 Scope 限制呼叫權限。</w:t>
            </w:r>
          </w:p>
        </w:tc>
        <w:tc>
          <w:tcPr>
            <w:tcW w:type="dxa" w:w="4032"/>
            <w:shd w:fill="FFFFFF"/>
            <w:tcMar>
              <w:top w:w="60" w:type="dxa"/>
              <w:bottom w:w="60" w:type="dxa"/>
              <w:left w:w="100" w:type="dxa"/>
              <w:right w:w="100" w:type="dxa"/>
            </w:tcMar>
          </w:tcPr>
          <w:p>
            <w:r>
              <w:rPr>
                <w:rFonts w:ascii="Arial" w:hAnsi="Arial"/>
                <w:color w:val="1C1917"/>
                <w:sz w:val="16"/>
              </w:rPr>
              <w:t>舊版本與新版本平滑共存，提供跨國工廠 6 個月平滑過渡緩衝期。</w:t>
            </w:r>
          </w:p>
        </w:tc>
      </w:tr>
    </w:tbl>
    <w:p>
      <w:pPr>
        <w:spacing w:after="80"/>
      </w:pPr>
    </w:p>
    <w:p>
      <w:r>
        <w:br w:type="page"/>
      </w:r>
    </w:p>
    <w:p>
      <w:pPr>
        <w:spacing w:before="160" w:after="80"/>
      </w:pPr>
      <w:r>
        <w:rPr>
          <w:rFonts w:ascii="Arial" w:hAnsi="Arial"/>
          <w:b/>
          <w:color w:val="D97706"/>
          <w:sz w:val="22"/>
        </w:rPr>
        <w:t xml:space="preserve">【第五章：資料湖倉】 </w:t>
      </w:r>
      <w:r>
        <w:rPr>
          <w:rFonts w:ascii="Arial" w:hAnsi="Arial"/>
          <w:b/>
          <w:color w:val="A83212"/>
          <w:sz w:val="30"/>
        </w:rPr>
        <w:t>5.1 雙軌資料架構核心理念：業務交易軌 vs 巨量分析軌徹底解耦</w:t>
      </w:r>
    </w:p>
    <w:p>
      <w:pPr>
        <w:spacing w:before="0" w:after="200"/>
      </w:pPr>
      <w:r>
        <w:rPr>
          <w:rFonts w:ascii="Arial" w:hAnsi="Arial"/>
          <w:i/>
          <w:color w:val="78716C"/>
          <w:sz w:val="19"/>
        </w:rPr>
        <w:t>Dual-Track Data Architecture · Decoupling OLTP Transactions from Analytics</w:t>
      </w:r>
    </w:p>
    <w:p>
      <w:pPr>
        <w:spacing w:before="0" w:after="120" w:line="276" w:lineRule="auto"/>
      </w:pPr>
      <w:r>
        <w:rPr>
          <w:rFonts w:ascii="Arial" w:hAnsi="Arial"/>
          <w:color w:val="1C1917"/>
          <w:sz w:val="19"/>
        </w:rPr>
        <w:t>在企業資料架構的演進中，最常見的誤區是『試圖讓一套資料庫同時扛起日常交易與巨量分析報表』，或是『強制所有工廠資料都必須經過 API Gateway 即時寫入資料庫』。這在跨國成衣製造中會直接拖垮 ERP，引發車間當機。</w:t>
      </w:r>
    </w:p>
    <w:p>
      <w:pPr>
        <w:spacing w:before="0" w:after="120" w:line="276" w:lineRule="auto"/>
      </w:pPr>
      <w:r>
        <w:rPr>
          <w:rFonts w:ascii="Arial" w:hAnsi="Arial"/>
          <w:color w:val="1C1917"/>
          <w:sz w:val="19"/>
        </w:rPr>
        <w:t>第一階段顧問團隊確立了信源『雙軌解耦（Dual-Track Decoupling）』的最高架構準則：</w:t>
      </w:r>
    </w:p>
    <w:p>
      <w:pPr>
        <w:pStyle w:val="ListBullet"/>
        <w:spacing w:before="0" w:after="60" w:line="269" w:lineRule="auto"/>
      </w:pPr>
      <w:r>
        <w:rPr>
          <w:rFonts w:ascii="Arial" w:hAnsi="Arial"/>
          <w:b/>
          <w:color w:val="1C1917"/>
          <w:sz w:val="18"/>
        </w:rPr>
        <w:t>軌道一 · 業務交易軌 (Transactional OLTP)：</w:t>
      </w:r>
      <w:r>
        <w:rPr>
          <w:rFonts w:ascii="Arial" w:hAnsi="Arial"/>
          <w:color w:val="1C1917"/>
          <w:sz w:val="18"/>
        </w:rPr>
        <w:t>專注於高頻、低延遲的業務運作（如工單開立、裁片刷槍、車縫計件、4-Gate 門禁放行）。由 D365 F&amp;O 與各廠 MS SQL 處理，保證 100% ACID 交易一致性，絕不執行任何跨多表的重型分析查詢。</w:t>
      </w:r>
    </w:p>
    <w:p>
      <w:pPr>
        <w:pStyle w:val="ListBullet"/>
        <w:spacing w:before="0" w:after="60" w:line="269" w:lineRule="auto"/>
      </w:pPr>
      <w:r>
        <w:rPr>
          <w:rFonts w:ascii="Arial" w:hAnsi="Arial"/>
          <w:b/>
          <w:color w:val="1C1917"/>
          <w:sz w:val="18"/>
        </w:rPr>
        <w:t>軌道二 · 巨量分析軌 (Analytical OLAP &amp; Lakehouse)：</w:t>
      </w:r>
      <w:r>
        <w:rPr>
          <w:rFonts w:ascii="Arial" w:hAnsi="Arial"/>
          <w:color w:val="1C1917"/>
          <w:sz w:val="18"/>
        </w:rPr>
        <w:t>專注於巨量歷史資料清洗、跨國對帳、Power BI 戰情室、聯銓晨會報表與 AI 機器學習。透過非同步異動捕獲（CDC）將資料導入 Azure ADLS Gen2 湖倉，不佔用任何線上生產資料庫的 CPU 與記憶體資源！</w:t>
      </w:r>
    </w:p>
    <w:p>
      <w:r>
        <w:br w:type="page"/>
      </w:r>
    </w:p>
    <w:p>
      <w:pPr>
        <w:spacing w:before="160" w:after="80"/>
      </w:pPr>
      <w:r>
        <w:rPr>
          <w:rFonts w:ascii="Arial" w:hAnsi="Arial"/>
          <w:b/>
          <w:color w:val="D97706"/>
          <w:sz w:val="22"/>
        </w:rPr>
        <w:t xml:space="preserve">【第五章：資料湖倉】 </w:t>
      </w:r>
      <w:r>
        <w:rPr>
          <w:rFonts w:ascii="Arial" w:hAnsi="Arial"/>
          <w:b/>
          <w:color w:val="A83212"/>
          <w:sz w:val="30"/>
        </w:rPr>
        <w:t>5.2 軌道一：D365 F&amp;O Synapse / Fabric Link 同步至 ADLS Gen2</w:t>
      </w:r>
    </w:p>
    <w:p>
      <w:pPr>
        <w:spacing w:before="0" w:after="200"/>
      </w:pPr>
      <w:r>
        <w:rPr>
          <w:rFonts w:ascii="Arial" w:hAnsi="Arial"/>
          <w:i/>
          <w:color w:val="78716C"/>
          <w:sz w:val="19"/>
        </w:rPr>
        <w:t>Track 1 · D365 Cloud Replication via Azure Synapse / Fabric Link</w:t>
      </w:r>
    </w:p>
    <w:p>
      <w:pPr>
        <w:spacing w:before="0" w:after="120" w:line="276" w:lineRule="auto"/>
      </w:pPr>
      <w:r>
        <w:rPr>
          <w:rFonts w:ascii="Arial" w:hAnsi="Arial"/>
          <w:color w:val="1C1917"/>
          <w:sz w:val="19"/>
        </w:rPr>
        <w:t>針對核心 ERP（D365 F&amp;O），第一階段實施微軟官方推薦的 **Azure Synapse Link for Dataverse / F&amp;O** 方案。該機制由微軟底層引擎管理，以近即時（Near Real-Time）串流方式，將 ERP 內的核心業務實體（如 SalesTable, InventTrans, ProdTable, CustTable）自動同步至 Azure Data Lake Storage Gen2 (ADLS Gen2)。</w:t>
      </w:r>
    </w:p>
    <w:tbl>
      <w:tblPr>
        <w:tblW w:type="auto" w:w="0"/>
        <w:jc w:val="center"/>
        <w:tblLook w:firstColumn="1" w:firstRow="1" w:lastColumn="0" w:lastRow="0" w:noHBand="0" w:noVBand="1" w:val="04A0"/>
      </w:tblPr>
      <w:tblGrid>
        <w:gridCol w:w="3216"/>
        <w:gridCol w:w="3216"/>
        <w:gridCol w:w="3216"/>
      </w:tblGrid>
      <w:tr>
        <w:tc>
          <w:tcPr>
            <w:tcW w:type="dxa" w:w="2592"/>
            <w:shd w:fill="F5EFEB"/>
            <w:tcMar>
              <w:top w:w="80" w:type="dxa"/>
              <w:bottom w:w="80" w:type="dxa"/>
              <w:left w:w="100" w:type="dxa"/>
              <w:right w:w="100" w:type="dxa"/>
            </w:tcMar>
          </w:tcPr>
          <w:p>
            <w:r>
              <w:rPr>
                <w:rFonts w:ascii="Arial" w:hAnsi="Arial"/>
                <w:b/>
                <w:color w:val="A83212"/>
                <w:sz w:val="17"/>
              </w:rPr>
              <w:t>同步技術特性</w:t>
            </w:r>
          </w:p>
        </w:tc>
        <w:tc>
          <w:tcPr>
            <w:tcW w:type="dxa" w:w="3744"/>
            <w:shd w:fill="F5EFEB"/>
            <w:tcMar>
              <w:top w:w="80" w:type="dxa"/>
              <w:bottom w:w="80" w:type="dxa"/>
              <w:left w:w="100" w:type="dxa"/>
              <w:right w:w="100" w:type="dxa"/>
            </w:tcMar>
          </w:tcPr>
          <w:p>
            <w:r>
              <w:rPr>
                <w:rFonts w:ascii="Arial" w:hAnsi="Arial"/>
                <w:b/>
                <w:color w:val="A83212"/>
                <w:sz w:val="17"/>
              </w:rPr>
              <w:t>微軟官方技術實現規格</w:t>
            </w:r>
          </w:p>
        </w:tc>
        <w:tc>
          <w:tcPr>
            <w:tcW w:type="dxa" w:w="4032"/>
            <w:shd w:fill="F5EFEB"/>
            <w:tcMar>
              <w:top w:w="80" w:type="dxa"/>
              <w:bottom w:w="80" w:type="dxa"/>
              <w:left w:w="100" w:type="dxa"/>
              <w:right w:w="100" w:type="dxa"/>
            </w:tcMar>
          </w:tcPr>
          <w:p>
            <w:r>
              <w:rPr>
                <w:rFonts w:ascii="Arial" w:hAnsi="Arial"/>
                <w:b/>
                <w:color w:val="A83212"/>
                <w:sz w:val="17"/>
              </w:rPr>
              <w:t>對信源集團之實質效益</w:t>
            </w:r>
          </w:p>
        </w:tc>
      </w:tr>
      <w:tr>
        <w:tc>
          <w:tcPr>
            <w:tcW w:type="dxa" w:w="2592"/>
            <w:shd w:fill="FFFFFF"/>
            <w:tcMar>
              <w:top w:w="60" w:type="dxa"/>
              <w:bottom w:w="60" w:type="dxa"/>
              <w:left w:w="100" w:type="dxa"/>
              <w:right w:w="100" w:type="dxa"/>
            </w:tcMar>
          </w:tcPr>
          <w:p>
            <w:r>
              <w:rPr>
                <w:rFonts w:ascii="Arial" w:hAnsi="Arial"/>
                <w:color w:val="1C1917"/>
                <w:sz w:val="16"/>
              </w:rPr>
              <w:t>儲存檔案格式</w:t>
            </w:r>
          </w:p>
        </w:tc>
        <w:tc>
          <w:tcPr>
            <w:tcW w:type="dxa" w:w="3744"/>
            <w:shd w:fill="FFFFFF"/>
            <w:tcMar>
              <w:top w:w="60" w:type="dxa"/>
              <w:bottom w:w="60" w:type="dxa"/>
              <w:left w:w="100" w:type="dxa"/>
              <w:right w:w="100" w:type="dxa"/>
            </w:tcMar>
          </w:tcPr>
          <w:p>
            <w:r>
              <w:rPr>
                <w:rFonts w:ascii="Arial" w:hAnsi="Arial"/>
                <w:color w:val="1C1917"/>
                <w:sz w:val="16"/>
              </w:rPr>
              <w:t>標準化 Parquet / Delta 格式</w:t>
              <w:br/>
              <w:t>具備列式壓縮與高效編碼</w:t>
            </w:r>
          </w:p>
        </w:tc>
        <w:tc>
          <w:tcPr>
            <w:tcW w:type="dxa" w:w="4032"/>
            <w:shd w:fill="FFFFFF"/>
            <w:tcMar>
              <w:top w:w="60" w:type="dxa"/>
              <w:bottom w:w="60" w:type="dxa"/>
              <w:left w:w="100" w:type="dxa"/>
              <w:right w:w="100" w:type="dxa"/>
            </w:tcMar>
          </w:tcPr>
          <w:p>
            <w:r>
              <w:rPr>
                <w:rFonts w:ascii="Arial" w:hAnsi="Arial"/>
                <w:color w:val="1C1917"/>
                <w:sz w:val="16"/>
              </w:rPr>
              <w:t>檔案大小僅為傳統 SQL 資料表的 1/5，查詢速度提升 10 倍，原生支援 Time Travel 歷史快照。</w:t>
            </w:r>
          </w:p>
        </w:tc>
      </w:tr>
      <w:tr>
        <w:tc>
          <w:tcPr>
            <w:tcW w:type="dxa" w:w="2592"/>
            <w:shd w:fill="FAFAF9"/>
            <w:tcMar>
              <w:top w:w="60" w:type="dxa"/>
              <w:bottom w:w="60" w:type="dxa"/>
              <w:left w:w="100" w:type="dxa"/>
              <w:right w:w="100" w:type="dxa"/>
            </w:tcMar>
          </w:tcPr>
          <w:p>
            <w:r>
              <w:rPr>
                <w:rFonts w:ascii="Arial" w:hAnsi="Arial"/>
                <w:color w:val="1C1917"/>
                <w:sz w:val="16"/>
              </w:rPr>
              <w:t>ERP 運算衝擊</w:t>
            </w:r>
          </w:p>
        </w:tc>
        <w:tc>
          <w:tcPr>
            <w:tcW w:type="dxa" w:w="3744"/>
            <w:shd w:fill="FAFAF9"/>
            <w:tcMar>
              <w:top w:w="60" w:type="dxa"/>
              <w:bottom w:w="60" w:type="dxa"/>
              <w:left w:w="100" w:type="dxa"/>
              <w:right w:w="100" w:type="dxa"/>
            </w:tcMar>
          </w:tcPr>
          <w:p>
            <w:r>
              <w:rPr>
                <w:rFonts w:ascii="Arial" w:hAnsi="Arial"/>
                <w:color w:val="1C1917"/>
                <w:sz w:val="16"/>
              </w:rPr>
              <w:t>零衝擊 (Zero Performance Impact)</w:t>
              <w:br/>
              <w:t>微軟底層引擎異步鏡像</w:t>
            </w:r>
          </w:p>
        </w:tc>
        <w:tc>
          <w:tcPr>
            <w:tcW w:type="dxa" w:w="4032"/>
            <w:shd w:fill="FAFAF9"/>
            <w:tcMar>
              <w:top w:w="60" w:type="dxa"/>
              <w:bottom w:w="60" w:type="dxa"/>
              <w:left w:w="100" w:type="dxa"/>
              <w:right w:w="100" w:type="dxa"/>
            </w:tcMar>
          </w:tcPr>
          <w:p>
            <w:r>
              <w:rPr>
                <w:rFonts w:ascii="Arial" w:hAnsi="Arial"/>
                <w:color w:val="1C1917"/>
                <w:sz w:val="16"/>
              </w:rPr>
              <w:t>總部財務結帳與海外廠大量輸入工單時，分析管線不會造成 D365 任何延遲或鎖表。</w:t>
            </w:r>
          </w:p>
        </w:tc>
      </w:tr>
      <w:tr>
        <w:tc>
          <w:tcPr>
            <w:tcW w:type="dxa" w:w="2592"/>
            <w:shd w:fill="FFFFFF"/>
            <w:tcMar>
              <w:top w:w="60" w:type="dxa"/>
              <w:bottom w:w="60" w:type="dxa"/>
              <w:left w:w="100" w:type="dxa"/>
              <w:right w:w="100" w:type="dxa"/>
            </w:tcMar>
          </w:tcPr>
          <w:p>
            <w:r>
              <w:rPr>
                <w:rFonts w:ascii="Arial" w:hAnsi="Arial"/>
                <w:color w:val="1C1917"/>
                <w:sz w:val="16"/>
              </w:rPr>
              <w:t>跨雲資料可攜性</w:t>
            </w:r>
          </w:p>
        </w:tc>
        <w:tc>
          <w:tcPr>
            <w:tcW w:type="dxa" w:w="3744"/>
            <w:shd w:fill="FFFFFF"/>
            <w:tcMar>
              <w:top w:w="60" w:type="dxa"/>
              <w:bottom w:w="60" w:type="dxa"/>
              <w:left w:w="100" w:type="dxa"/>
              <w:right w:w="100" w:type="dxa"/>
            </w:tcMar>
          </w:tcPr>
          <w:p>
            <w:r>
              <w:rPr>
                <w:rFonts w:ascii="Arial" w:hAnsi="Arial"/>
                <w:color w:val="1C1917"/>
                <w:sz w:val="16"/>
              </w:rPr>
              <w:t>開放開源格式 (Open Format)</w:t>
              <w:br/>
              <w:t>無任何專屬技術綁定 (No Lock-in)</w:t>
            </w:r>
          </w:p>
        </w:tc>
        <w:tc>
          <w:tcPr>
            <w:tcW w:type="dxa" w:w="4032"/>
            <w:shd w:fill="FFFFFF"/>
            <w:tcMar>
              <w:top w:w="60" w:type="dxa"/>
              <w:bottom w:w="60" w:type="dxa"/>
              <w:left w:w="100" w:type="dxa"/>
              <w:right w:w="100" w:type="dxa"/>
            </w:tcMar>
          </w:tcPr>
          <w:p>
            <w:r>
              <w:rPr>
                <w:rFonts w:ascii="Arial" w:hAnsi="Arial"/>
                <w:color w:val="1C1917"/>
                <w:sz w:val="16"/>
              </w:rPr>
              <w:t>未來資料無論要餵給 Azure Fabric、AWS SageMaker 或自建開源工具，皆可直接原生讀取。</w:t>
            </w:r>
          </w:p>
        </w:tc>
      </w:tr>
    </w:tbl>
    <w:p>
      <w:pPr>
        <w:spacing w:after="80"/>
      </w:pPr>
    </w:p>
    <w:p>
      <w:r>
        <w:br w:type="page"/>
      </w:r>
    </w:p>
    <w:p>
      <w:pPr>
        <w:spacing w:before="160" w:after="80"/>
      </w:pPr>
      <w:r>
        <w:rPr>
          <w:rFonts w:ascii="Arial" w:hAnsi="Arial"/>
          <w:b/>
          <w:color w:val="D97706"/>
          <w:sz w:val="22"/>
        </w:rPr>
        <w:t xml:space="preserve">【第五章：資料湖倉】 </w:t>
      </w:r>
      <w:r>
        <w:rPr>
          <w:rFonts w:ascii="Arial" w:hAnsi="Arial"/>
          <w:b/>
          <w:color w:val="A83212"/>
          <w:sz w:val="30"/>
        </w:rPr>
        <w:t>5.3 軌道二：海外各廠 MS SQL AlwaysOn 原生 CDC 異動捕獲</w:t>
      </w:r>
    </w:p>
    <w:p>
      <w:pPr>
        <w:spacing w:before="0" w:after="200"/>
      </w:pPr>
      <w:r>
        <w:rPr>
          <w:rFonts w:ascii="Arial" w:hAnsi="Arial"/>
          <w:i/>
          <w:color w:val="78716C"/>
          <w:sz w:val="19"/>
        </w:rPr>
        <w:t>Track 2 · Factory MS SQL CDC (Change Data Capture) Engine</w:t>
      </w:r>
    </w:p>
    <w:p>
      <w:pPr>
        <w:spacing w:before="0" w:after="120" w:line="276" w:lineRule="auto"/>
      </w:pPr>
      <w:r>
        <w:rPr>
          <w:rFonts w:ascii="Arial" w:hAnsi="Arial"/>
          <w:color w:val="1C1917"/>
          <w:sz w:val="19"/>
        </w:rPr>
        <w:t>海外三廠（越、柬、印尼）現場運行的 MES 與車間資料庫為 **Microsoft SQL Server AlwaysOn 高可用叢集**。為獲取每日生產異動且不干擾產線，第一階段規範啟用 SQL Server 原生 **CDC (Change Data Capture)** 機制：</w:t>
      </w:r>
    </w:p>
    <w:p>
      <w:pPr>
        <w:pStyle w:val="ListBullet"/>
        <w:spacing w:before="0" w:after="60" w:line="269" w:lineRule="auto"/>
      </w:pPr>
      <w:r>
        <w:rPr>
          <w:rFonts w:ascii="Arial" w:hAnsi="Arial"/>
          <w:b/>
          <w:color w:val="1C1917"/>
          <w:sz w:val="18"/>
        </w:rPr>
        <w:t>1. 零侵入性日誌監聽：</w:t>
      </w:r>
      <w:r>
        <w:rPr>
          <w:rFonts w:ascii="Arial" w:hAnsi="Arial"/>
          <w:color w:val="1C1917"/>
          <w:sz w:val="18"/>
        </w:rPr>
        <w:t>CDC 直接讀取 SQL Server 底層的交易日誌檔案（Transaction Log / ldf），而非向資料表下 SQL 查詢，因此不會產生任何資料表鎖定（Table Lock），產線刷槍完全不受影響。</w:t>
      </w:r>
    </w:p>
    <w:p>
      <w:pPr>
        <w:pStyle w:val="ListBullet"/>
        <w:spacing w:before="0" w:after="60" w:line="269" w:lineRule="auto"/>
      </w:pPr>
      <w:r>
        <w:rPr>
          <w:rFonts w:ascii="Arial" w:hAnsi="Arial"/>
          <w:b/>
          <w:color w:val="1C1917"/>
          <w:sz w:val="18"/>
        </w:rPr>
        <w:t>2. 完整歷史異動狀態：</w:t>
      </w:r>
      <w:r>
        <w:rPr>
          <w:rFonts w:ascii="Arial" w:hAnsi="Arial"/>
          <w:color w:val="1C1917"/>
          <w:sz w:val="18"/>
        </w:rPr>
        <w:t>精準捕獲每一筆紀錄的 Insert、Update、Delete 前後值，並記錄資料庫 LSN（Log Sequence Number）序號，確保異動事件一筆不漏。</w:t>
      </w:r>
    </w:p>
    <w:p>
      <w:pPr>
        <w:pStyle w:val="ListBullet"/>
        <w:spacing w:before="0" w:after="60" w:line="269" w:lineRule="auto"/>
      </w:pPr>
      <w:r>
        <w:rPr>
          <w:rFonts w:ascii="Arial" w:hAnsi="Arial"/>
          <w:b/>
          <w:color w:val="1C1917"/>
          <w:sz w:val="18"/>
        </w:rPr>
        <w:t>3. 自動化清理作業：</w:t>
      </w:r>
      <w:r>
        <w:rPr>
          <w:rFonts w:ascii="Arial" w:hAnsi="Arial"/>
          <w:color w:val="1C1917"/>
          <w:sz w:val="18"/>
        </w:rPr>
        <w:t>設定 CDC 變更資料表保留期限為 3 天，每日定時執行清理作業（`sys.sp_cdc_cleanup_change_table`），防止工廠本機磁碟空間暴增。</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【資料庫工程鐵律】</w:t>
              <w:br/>
            </w:r>
            <w:r>
              <w:rPr>
                <w:rFonts w:ascii="Arial" w:hAnsi="Arial"/>
                <w:color w:val="1C1917"/>
                <w:sz w:val="18"/>
              </w:rPr>
              <w:t>嚴禁任何工程師在海外廠生產資料庫上使用 `SELECT * FROM Table WHERE UpdateTime &gt; ...` 進行全表輪詢（Polling）！全集團一律採用原生 CDC，守護產線資料庫穩定。</w:t>
            </w:r>
          </w:p>
        </w:tc>
      </w:tr>
    </w:tbl>
    <w:p>
      <w:pPr>
        <w:spacing w:after="80"/>
      </w:pPr>
    </w:p>
    <w:p>
      <w:r>
        <w:br w:type="page"/>
      </w:r>
    </w:p>
    <w:p>
      <w:pPr>
        <w:spacing w:before="160" w:after="80"/>
      </w:pPr>
      <w:r>
        <w:rPr>
          <w:rFonts w:ascii="Arial" w:hAnsi="Arial"/>
          <w:b/>
          <w:color w:val="D97706"/>
          <w:sz w:val="22"/>
        </w:rPr>
        <w:t xml:space="preserve">【第五章：資料湖倉】 </w:t>
      </w:r>
      <w:r>
        <w:rPr>
          <w:rFonts w:ascii="Arial" w:hAnsi="Arial"/>
          <w:b/>
          <w:color w:val="A83212"/>
          <w:sz w:val="30"/>
        </w:rPr>
        <w:t>5.4 外點資料傳輸鐵律：深夜 01:00~03:00 離峰一日一次傳輸</w:t>
      </w:r>
    </w:p>
    <w:p>
      <w:pPr>
        <w:spacing w:before="0" w:after="200"/>
      </w:pPr>
      <w:r>
        <w:rPr>
          <w:rFonts w:ascii="Arial" w:hAnsi="Arial"/>
          <w:i/>
          <w:color w:val="78716C"/>
          <w:sz w:val="19"/>
        </w:rPr>
        <w:t>The Golden Rule · Midnight Off-Peak Transmission Policy (01:00~03:00)</w:t>
      </w:r>
    </w:p>
    <w:p>
      <w:pPr>
        <w:spacing w:before="0" w:after="120" w:line="276" w:lineRule="auto"/>
      </w:pPr>
      <w:r>
        <w:rPr>
          <w:rFonts w:ascii="Arial" w:hAnsi="Arial"/>
          <w:color w:val="1C1917"/>
          <w:sz w:val="19"/>
        </w:rPr>
        <w:t>周文津副總經理在會談中多次嚴肅強調一項剛性管理原則：『外點所有的結算，都是一天傳一次（排定離峰，保護 SD-WAN 頻寬），除非極度重要才多次傳輸，以免造成與外點 SD-WAN 的頻寬問題！』</w:t>
      </w:r>
    </w:p>
    <w:p>
      <w:pPr>
        <w:spacing w:before="0" w:after="120" w:line="276" w:lineRule="auto"/>
      </w:pPr>
      <w:r>
        <w:rPr>
          <w:rFonts w:ascii="Arial" w:hAnsi="Arial"/>
          <w:color w:val="1C1917"/>
          <w:sz w:val="19"/>
        </w:rPr>
        <w:t>顧問團隊在第一階段將這項管理智慧轉化為不可違背的系統硬性管線政策：</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時程階段</w:t>
            </w:r>
          </w:p>
        </w:tc>
        <w:tc>
          <w:tcPr>
            <w:tcW w:type="dxa" w:w="3168"/>
            <w:shd w:fill="F5EFEB"/>
            <w:tcMar>
              <w:top w:w="80" w:type="dxa"/>
              <w:bottom w:w="80" w:type="dxa"/>
              <w:left w:w="100" w:type="dxa"/>
              <w:right w:w="100" w:type="dxa"/>
            </w:tcMar>
          </w:tcPr>
          <w:p>
            <w:r>
              <w:rPr>
                <w:rFonts w:ascii="Arial" w:hAnsi="Arial"/>
                <w:b/>
                <w:color w:val="A83212"/>
                <w:sz w:val="17"/>
              </w:rPr>
              <w:t>系統執行作業</w:t>
            </w:r>
          </w:p>
        </w:tc>
        <w:tc>
          <w:tcPr>
            <w:tcW w:type="dxa" w:w="2592"/>
            <w:shd w:fill="F5EFEB"/>
            <w:tcMar>
              <w:top w:w="80" w:type="dxa"/>
              <w:bottom w:w="80" w:type="dxa"/>
              <w:left w:w="100" w:type="dxa"/>
              <w:right w:w="100" w:type="dxa"/>
            </w:tcMar>
          </w:tcPr>
          <w:p>
            <w:r>
              <w:rPr>
                <w:rFonts w:ascii="Arial" w:hAnsi="Arial"/>
                <w:b/>
                <w:color w:val="A83212"/>
                <w:sz w:val="17"/>
              </w:rPr>
              <w:t>網路頻寬與資源管控行為</w:t>
            </w:r>
          </w:p>
        </w:tc>
        <w:tc>
          <w:tcPr>
            <w:tcW w:type="dxa" w:w="2016"/>
            <w:shd w:fill="F5EFEB"/>
            <w:tcMar>
              <w:top w:w="80" w:type="dxa"/>
              <w:bottom w:w="80" w:type="dxa"/>
              <w:left w:w="100" w:type="dxa"/>
              <w:right w:w="100" w:type="dxa"/>
            </w:tcMar>
          </w:tcPr>
          <w:p>
            <w:r>
              <w:rPr>
                <w:rFonts w:ascii="Arial" w:hAnsi="Arial"/>
                <w:b/>
                <w:color w:val="A83212"/>
                <w:sz w:val="17"/>
              </w:rPr>
              <w:t>防呆與例外處理機制</w:t>
            </w:r>
          </w:p>
        </w:tc>
      </w:tr>
      <w:tr>
        <w:tc>
          <w:tcPr>
            <w:tcW w:type="dxa" w:w="2592"/>
            <w:shd w:fill="FFFFFF"/>
            <w:tcMar>
              <w:top w:w="60" w:type="dxa"/>
              <w:bottom w:w="60" w:type="dxa"/>
              <w:left w:w="100" w:type="dxa"/>
              <w:right w:w="100" w:type="dxa"/>
            </w:tcMar>
          </w:tcPr>
          <w:p>
            <w:r>
              <w:rPr>
                <w:rFonts w:ascii="Arial" w:hAnsi="Arial"/>
                <w:color w:val="1C1917"/>
                <w:sz w:val="16"/>
              </w:rPr>
              <w:t>23:00 ~ 00:30</w:t>
              <w:br/>
              <w:t>(本地打包準備)</w:t>
            </w:r>
          </w:p>
        </w:tc>
        <w:tc>
          <w:tcPr>
            <w:tcW w:type="dxa" w:w="3168"/>
            <w:shd w:fill="FFFFFF"/>
            <w:tcMar>
              <w:top w:w="60" w:type="dxa"/>
              <w:bottom w:w="60" w:type="dxa"/>
              <w:left w:w="100" w:type="dxa"/>
              <w:right w:w="100" w:type="dxa"/>
            </w:tcMar>
          </w:tcPr>
          <w:p>
            <w:r>
              <w:rPr>
                <w:rFonts w:ascii="Arial" w:hAnsi="Arial"/>
                <w:color w:val="1C1917"/>
                <w:sz w:val="16"/>
              </w:rPr>
              <w:t>海外廠本機 Integration Runtime</w:t>
              <w:br/>
              <w:t>將當日 CDC 異動資料萃取並壓縮</w:t>
            </w:r>
          </w:p>
        </w:tc>
        <w:tc>
          <w:tcPr>
            <w:tcW w:type="dxa" w:w="2592"/>
            <w:shd w:fill="FFFFFF"/>
            <w:tcMar>
              <w:top w:w="60" w:type="dxa"/>
              <w:bottom w:w="60" w:type="dxa"/>
              <w:left w:w="100" w:type="dxa"/>
              <w:right w:w="100" w:type="dxa"/>
            </w:tcMar>
          </w:tcPr>
          <w:p>
            <w:r>
              <w:rPr>
                <w:rFonts w:ascii="Arial" w:hAnsi="Arial"/>
                <w:color w:val="1C1917"/>
                <w:sz w:val="16"/>
              </w:rPr>
              <w:t>完全在工廠本地伺服器內運算，</w:t>
              <w:br/>
              <w:t>不產生任何跨國對外網路流量。</w:t>
            </w:r>
          </w:p>
        </w:tc>
        <w:tc>
          <w:tcPr>
            <w:tcW w:type="dxa" w:w="2016"/>
            <w:shd w:fill="FFFFFF"/>
            <w:tcMar>
              <w:top w:w="60" w:type="dxa"/>
              <w:bottom w:w="60" w:type="dxa"/>
              <w:left w:w="100" w:type="dxa"/>
              <w:right w:w="100" w:type="dxa"/>
            </w:tcMar>
          </w:tcPr>
          <w:p>
            <w:r>
              <w:rPr>
                <w:rFonts w:ascii="Arial" w:hAnsi="Arial"/>
                <w:color w:val="1C1917"/>
                <w:sz w:val="16"/>
              </w:rPr>
              <w:t>驗證本機壓縮檔完整性，若資料缺損自動重萃取。</w:t>
            </w:r>
          </w:p>
        </w:tc>
      </w:tr>
      <w:tr>
        <w:tc>
          <w:tcPr>
            <w:tcW w:type="dxa" w:w="2592"/>
            <w:shd w:fill="FAFAF9"/>
            <w:tcMar>
              <w:top w:w="60" w:type="dxa"/>
              <w:bottom w:w="60" w:type="dxa"/>
              <w:left w:w="100" w:type="dxa"/>
              <w:right w:w="100" w:type="dxa"/>
            </w:tcMar>
          </w:tcPr>
          <w:p>
            <w:r>
              <w:rPr>
                <w:rFonts w:ascii="Arial" w:hAnsi="Arial"/>
                <w:color w:val="1C1917"/>
                <w:sz w:val="16"/>
              </w:rPr>
              <w:t>01:00 ~ 03:00</w:t>
              <w:br/>
              <w:t>(★ 黃金傳輸窗口)</w:t>
            </w:r>
          </w:p>
        </w:tc>
        <w:tc>
          <w:tcPr>
            <w:tcW w:type="dxa" w:w="3168"/>
            <w:shd w:fill="FAFAF9"/>
            <w:tcMar>
              <w:top w:w="60" w:type="dxa"/>
              <w:bottom w:w="60" w:type="dxa"/>
              <w:left w:w="100" w:type="dxa"/>
              <w:right w:w="100" w:type="dxa"/>
            </w:tcMar>
          </w:tcPr>
          <w:p>
            <w:r>
              <w:rPr>
                <w:rFonts w:ascii="Arial" w:hAnsi="Arial"/>
                <w:color w:val="1C1917"/>
                <w:sz w:val="16"/>
              </w:rPr>
              <w:t>排程啟動，將壓縮包經由專用私網</w:t>
              <w:br/>
              <w:t>增量上傳至總部 Azure ADLS Gen2</w:t>
            </w:r>
          </w:p>
        </w:tc>
        <w:tc>
          <w:tcPr>
            <w:tcW w:type="dxa" w:w="2592"/>
            <w:shd w:fill="FAFAF9"/>
            <w:tcMar>
              <w:top w:w="60" w:type="dxa"/>
              <w:bottom w:w="60" w:type="dxa"/>
              <w:left w:w="100" w:type="dxa"/>
              <w:right w:w="100" w:type="dxa"/>
            </w:tcMar>
          </w:tcPr>
          <w:p>
            <w:r>
              <w:rPr>
                <w:rFonts w:ascii="Arial" w:hAnsi="Arial"/>
                <w:color w:val="1C1917"/>
                <w:sz w:val="16"/>
              </w:rPr>
              <w:t>跨國 SD-WAN 專線 80% 空閒，</w:t>
              <w:br/>
              <w:t>傳輸頻寬上限鎖定在 15Mbps 以內。</w:t>
            </w:r>
          </w:p>
        </w:tc>
        <w:tc>
          <w:tcPr>
            <w:tcW w:type="dxa" w:w="2016"/>
            <w:shd w:fill="FAFAF9"/>
            <w:tcMar>
              <w:top w:w="60" w:type="dxa"/>
              <w:bottom w:w="60" w:type="dxa"/>
              <w:left w:w="100" w:type="dxa"/>
              <w:right w:w="100" w:type="dxa"/>
            </w:tcMar>
          </w:tcPr>
          <w:p>
            <w:r>
              <w:rPr>
                <w:rFonts w:ascii="Arial" w:hAnsi="Arial"/>
                <w:color w:val="1C1917"/>
                <w:sz w:val="16"/>
              </w:rPr>
              <w:t>支援中斷續傳，若遇海纜斷網自動排入重試佇列，不卡死線程。</w:t>
            </w:r>
          </w:p>
        </w:tc>
      </w:tr>
      <w:tr>
        <w:tc>
          <w:tcPr>
            <w:tcW w:type="dxa" w:w="2592"/>
            <w:shd w:fill="FFFFFF"/>
            <w:tcMar>
              <w:top w:w="60" w:type="dxa"/>
              <w:bottom w:w="60" w:type="dxa"/>
              <w:left w:w="100" w:type="dxa"/>
              <w:right w:w="100" w:type="dxa"/>
            </w:tcMar>
          </w:tcPr>
          <w:p>
            <w:r>
              <w:rPr>
                <w:rFonts w:ascii="Arial" w:hAnsi="Arial"/>
                <w:color w:val="1C1917"/>
                <w:sz w:val="16"/>
              </w:rPr>
              <w:t>03:00 ~ 05:30</w:t>
              <w:br/>
              <w:t>(總部清洗湖倉)</w:t>
            </w:r>
          </w:p>
        </w:tc>
        <w:tc>
          <w:tcPr>
            <w:tcW w:type="dxa" w:w="3168"/>
            <w:shd w:fill="FFFFFF"/>
            <w:tcMar>
              <w:top w:w="60" w:type="dxa"/>
              <w:bottom w:w="60" w:type="dxa"/>
              <w:left w:w="100" w:type="dxa"/>
              <w:right w:w="100" w:type="dxa"/>
            </w:tcMar>
          </w:tcPr>
          <w:p>
            <w:r>
              <w:rPr>
                <w:rFonts w:ascii="Arial" w:hAnsi="Arial"/>
                <w:color w:val="1C1917"/>
                <w:sz w:val="16"/>
              </w:rPr>
              <w:t>總部觸發 Azure Data Factory Pipeline</w:t>
              <w:br/>
              <w:t>執行 Medallion 三層清洗與對帳</w:t>
            </w:r>
          </w:p>
        </w:tc>
        <w:tc>
          <w:tcPr>
            <w:tcW w:type="dxa" w:w="2592"/>
            <w:shd w:fill="FFFFFF"/>
            <w:tcMar>
              <w:top w:w="60" w:type="dxa"/>
              <w:bottom w:w="60" w:type="dxa"/>
              <w:left w:w="100" w:type="dxa"/>
              <w:right w:w="100" w:type="dxa"/>
            </w:tcMar>
          </w:tcPr>
          <w:p>
            <w:r>
              <w:rPr>
                <w:rFonts w:ascii="Arial" w:hAnsi="Arial"/>
                <w:color w:val="1C1917"/>
                <w:sz w:val="16"/>
              </w:rPr>
              <w:t>總部雲端內部高速資料搬遷，</w:t>
              <w:br/>
              <w:t>完全不佔用跨國海外工廠專線。</w:t>
            </w:r>
          </w:p>
        </w:tc>
        <w:tc>
          <w:tcPr>
            <w:tcW w:type="dxa" w:w="2016"/>
            <w:shd w:fill="FFFFFF"/>
            <w:tcMar>
              <w:top w:w="60" w:type="dxa"/>
              <w:bottom w:w="60" w:type="dxa"/>
              <w:left w:w="100" w:type="dxa"/>
              <w:right w:w="100" w:type="dxa"/>
            </w:tcMar>
          </w:tcPr>
          <w:p>
            <w:r>
              <w:rPr>
                <w:rFonts w:ascii="Arial" w:hAnsi="Arial"/>
                <w:color w:val="1C1917"/>
                <w:sz w:val="16"/>
              </w:rPr>
              <w:t>自動比對工廠傳出筆數與總部接收筆數，若有差異立即告警。</w:t>
            </w:r>
          </w:p>
        </w:tc>
      </w:tr>
      <w:tr>
        <w:tc>
          <w:tcPr>
            <w:tcW w:type="dxa" w:w="2592"/>
            <w:shd w:fill="FAFAF9"/>
            <w:tcMar>
              <w:top w:w="60" w:type="dxa"/>
              <w:bottom w:w="60" w:type="dxa"/>
              <w:left w:w="100" w:type="dxa"/>
              <w:right w:w="100" w:type="dxa"/>
            </w:tcMar>
          </w:tcPr>
          <w:p>
            <w:r>
              <w:rPr>
                <w:rFonts w:ascii="Arial" w:hAnsi="Arial"/>
                <w:color w:val="1C1917"/>
                <w:sz w:val="16"/>
              </w:rPr>
              <w:t>06:00 整點</w:t>
              <w:br/>
              <w:t>(晨會看板就緒)</w:t>
            </w:r>
          </w:p>
        </w:tc>
        <w:tc>
          <w:tcPr>
            <w:tcW w:type="dxa" w:w="3168"/>
            <w:shd w:fill="FAFAF9"/>
            <w:tcMar>
              <w:top w:w="60" w:type="dxa"/>
              <w:bottom w:w="60" w:type="dxa"/>
              <w:left w:w="100" w:type="dxa"/>
              <w:right w:w="100" w:type="dxa"/>
            </w:tcMar>
          </w:tcPr>
          <w:p>
            <w:r>
              <w:rPr>
                <w:rFonts w:ascii="Arial" w:hAnsi="Arial"/>
                <w:color w:val="1C1917"/>
                <w:sz w:val="16"/>
              </w:rPr>
              <w:t>自動生成清晨晨會報表，各廠廠長</w:t>
              <w:br/>
              <w:t>檢閱昨日生產達成率與線平衡率</w:t>
            </w:r>
          </w:p>
        </w:tc>
        <w:tc>
          <w:tcPr>
            <w:tcW w:type="dxa" w:w="2592"/>
            <w:shd w:fill="FAFAF9"/>
            <w:tcMar>
              <w:top w:w="60" w:type="dxa"/>
              <w:bottom w:w="60" w:type="dxa"/>
              <w:left w:w="100" w:type="dxa"/>
              <w:right w:w="100" w:type="dxa"/>
            </w:tcMar>
          </w:tcPr>
          <w:p>
            <w:r>
              <w:rPr>
                <w:rFonts w:ascii="Arial" w:hAnsi="Arial"/>
                <w:color w:val="1C1917"/>
                <w:sz w:val="16"/>
              </w:rPr>
              <w:t>各廠長透過本地快取瀏覽報表，</w:t>
              <w:br/>
              <w:t>僅需微量讀取頻寬。</w:t>
            </w:r>
          </w:p>
        </w:tc>
        <w:tc>
          <w:tcPr>
            <w:tcW w:type="dxa" w:w="2016"/>
            <w:shd w:fill="FAFAF9"/>
            <w:tcMar>
              <w:top w:w="60" w:type="dxa"/>
              <w:bottom w:w="60" w:type="dxa"/>
              <w:left w:w="100" w:type="dxa"/>
              <w:right w:w="100" w:type="dxa"/>
            </w:tcMar>
          </w:tcPr>
          <w:p>
            <w:r>
              <w:rPr>
                <w:rFonts w:ascii="Arial" w:hAnsi="Arial"/>
                <w:color w:val="1C1917"/>
                <w:sz w:val="16"/>
              </w:rPr>
              <w:t>數據完全同源，徹底消滅跨國資訊時差與對帳爭端。</w:t>
            </w:r>
          </w:p>
        </w:tc>
      </w:tr>
    </w:tbl>
    <w:p>
      <w:pPr>
        <w:spacing w:after="80"/>
      </w:pPr>
    </w:p>
    <w:p>
      <w:r>
        <w:br w:type="page"/>
      </w:r>
    </w:p>
    <w:p>
      <w:pPr>
        <w:spacing w:before="160" w:after="80"/>
      </w:pPr>
      <w:r>
        <w:rPr>
          <w:rFonts w:ascii="Arial" w:hAnsi="Arial"/>
          <w:b/>
          <w:color w:val="D97706"/>
          <w:sz w:val="22"/>
        </w:rPr>
        <w:t xml:space="preserve">【第五章：資料湖倉】 </w:t>
      </w:r>
      <w:r>
        <w:rPr>
          <w:rFonts w:ascii="Arial" w:hAnsi="Arial"/>
          <w:b/>
          <w:color w:val="A83212"/>
          <w:sz w:val="30"/>
        </w:rPr>
        <w:t>5.5 離峰傳輸演算法：批次壓縮、斷點續傳與 SD-WAN 頻寬保護</w:t>
      </w:r>
    </w:p>
    <w:p>
      <w:pPr>
        <w:spacing w:before="0" w:after="200"/>
      </w:pPr>
      <w:r>
        <w:rPr>
          <w:rFonts w:ascii="Arial" w:hAnsi="Arial"/>
          <w:i/>
          <w:color w:val="78716C"/>
          <w:sz w:val="19"/>
        </w:rPr>
        <w:t>Delta Sync Algorithm · Compression, Checksums &amp; Bandwidth Throttling</w:t>
      </w:r>
    </w:p>
    <w:p>
      <w:pPr>
        <w:spacing w:before="0" w:after="120" w:line="276" w:lineRule="auto"/>
      </w:pPr>
      <w:r>
        <w:rPr>
          <w:rFonts w:ascii="Arial" w:hAnsi="Arial"/>
          <w:color w:val="1C1917"/>
          <w:sz w:val="19"/>
        </w:rPr>
        <w:t>為確保即使在印尼或柬埔寨等網路品質較差的海外廠區，離峰資料也能穩健傳輸完畢，顧問團隊設計了專屬的『離峰批次傳輸演算法（Delta Batch Algorithm）』：</w:t>
      </w:r>
    </w:p>
    <w:p>
      <w:pPr>
        <w:pStyle w:val="ListBullet"/>
        <w:spacing w:before="0" w:after="60" w:line="269" w:lineRule="auto"/>
      </w:pPr>
      <w:r>
        <w:rPr>
          <w:rFonts w:ascii="Arial" w:hAnsi="Arial"/>
          <w:b/>
          <w:color w:val="1C1917"/>
          <w:sz w:val="18"/>
        </w:rPr>
        <w:t>1. 高壓縮比預處理：</w:t>
      </w:r>
      <w:r>
        <w:rPr>
          <w:rFonts w:ascii="Arial" w:hAnsi="Arial"/>
          <w:color w:val="1C1917"/>
          <w:sz w:val="18"/>
        </w:rPr>
        <w:t>海外廠將 CDC 產出之 JSON/Parquet 資料以 Gzip / Zstandard 演算法進行高強度壓縮，平均壓縮比達 70%~85%，將數百 MB 的異動資料縮減至數十 MB。</w:t>
      </w:r>
    </w:p>
    <w:p>
      <w:pPr>
        <w:pStyle w:val="ListBullet"/>
        <w:spacing w:before="0" w:after="60" w:line="269" w:lineRule="auto"/>
      </w:pPr>
      <w:r>
        <w:rPr>
          <w:rFonts w:ascii="Arial" w:hAnsi="Arial"/>
          <w:b/>
          <w:color w:val="1C1917"/>
          <w:sz w:val="18"/>
        </w:rPr>
        <w:t>2. 完整性雜湊驗證：</w:t>
      </w:r>
      <w:r>
        <w:rPr>
          <w:rFonts w:ascii="Arial" w:hAnsi="Arial"/>
          <w:color w:val="1C1917"/>
          <w:sz w:val="18"/>
        </w:rPr>
        <w:t>檔案傳輸前於本地計算 SHA-256 雜湊總和碼（Checksum），上傳總部 ADLS Gen2 後立即逆向比對，確保傳輸過程無任何位元翻轉或封包丟失。</w:t>
      </w:r>
    </w:p>
    <w:p>
      <w:pPr>
        <w:pStyle w:val="ListBullet"/>
        <w:spacing w:before="0" w:after="60" w:line="269" w:lineRule="auto"/>
      </w:pPr>
      <w:r>
        <w:rPr>
          <w:rFonts w:ascii="Arial" w:hAnsi="Arial"/>
          <w:b/>
          <w:color w:val="1C1917"/>
          <w:sz w:val="18"/>
        </w:rPr>
        <w:t>3. 斷點續傳彈性架構：</w:t>
      </w:r>
      <w:r>
        <w:rPr>
          <w:rFonts w:ascii="Arial" w:hAnsi="Arial"/>
          <w:color w:val="1C1917"/>
          <w:sz w:val="18"/>
        </w:rPr>
        <w:t>採用分塊傳輸（Chunked Upload，每塊 4MB），若遭遇突發封包中斷，復網時僅需重傳失敗的該區塊，無需從頭重新上傳。</w:t>
      </w:r>
    </w:p>
    <w:p>
      <w:pPr>
        <w:pStyle w:val="ListBullet"/>
        <w:spacing w:before="0" w:after="60" w:line="269" w:lineRule="auto"/>
      </w:pPr>
      <w:r>
        <w:rPr>
          <w:rFonts w:ascii="Arial" w:hAnsi="Arial"/>
          <w:b/>
          <w:color w:val="1C1917"/>
          <w:sz w:val="18"/>
        </w:rPr>
        <w:t>4. 剛性頻寬節流上限：</w:t>
      </w:r>
      <w:r>
        <w:rPr>
          <w:rFonts w:ascii="Arial" w:hAnsi="Arial"/>
          <w:color w:val="1C1917"/>
          <w:sz w:val="18"/>
        </w:rPr>
        <w:t>在 Integration Runtime 強制配置 Qos 頻寬節流閥（Bandwidth Throttling），保證最大傳輸頻寬永遠不超過工廠專線的 50%，為車間預留緊急通訊通道。</w:t>
      </w:r>
    </w:p>
    <w:p>
      <w:r>
        <w:br w:type="page"/>
      </w:r>
    </w:p>
    <w:p>
      <w:pPr>
        <w:spacing w:before="160" w:after="80"/>
      </w:pPr>
      <w:r>
        <w:rPr>
          <w:rFonts w:ascii="Arial" w:hAnsi="Arial"/>
          <w:b/>
          <w:color w:val="D97706"/>
          <w:sz w:val="22"/>
        </w:rPr>
        <w:t xml:space="preserve">【第五章：資料湖倉】 </w:t>
      </w:r>
      <w:r>
        <w:rPr>
          <w:rFonts w:ascii="Arial" w:hAnsi="Arial"/>
          <w:b/>
          <w:color w:val="A83212"/>
          <w:sz w:val="30"/>
        </w:rPr>
        <w:t>5.6 Medallion 湖倉三層清洗：Bronze 原生、Silver 清洗、Gold 業務彙總</w:t>
      </w:r>
    </w:p>
    <w:p>
      <w:pPr>
        <w:spacing w:before="0" w:after="200"/>
      </w:pPr>
      <w:r>
        <w:rPr>
          <w:rFonts w:ascii="Arial" w:hAnsi="Arial"/>
          <w:i/>
          <w:color w:val="78716C"/>
          <w:sz w:val="19"/>
        </w:rPr>
        <w:t>Medallion Architecture · Bronze (Raw) -&gt; Silver (Cleaned) -&gt; Gold (Aggregated)</w:t>
      </w:r>
    </w:p>
    <w:p>
      <w:pPr>
        <w:spacing w:before="0" w:after="120" w:line="276" w:lineRule="auto"/>
      </w:pPr>
      <w:r>
        <w:rPr>
          <w:rFonts w:ascii="Arial" w:hAnsi="Arial"/>
          <w:color w:val="1C1917"/>
          <w:sz w:val="19"/>
        </w:rPr>
        <w:t>總部資料湖倉全面依循業界標準的 **Medallion 架構（青銅 -&gt; 白銀 -&gt; 黃金）** 進行分層資料清洗與品質治理：</w:t>
      </w:r>
    </w:p>
    <w:tbl>
      <w:tblPr>
        <w:tblW w:type="auto" w:w="0"/>
        <w:jc w:val="center"/>
        <w:tblLook w:firstColumn="1" w:firstRow="1" w:lastColumn="0" w:lastRow="0" w:noHBand="0" w:noVBand="1" w:val="04A0"/>
      </w:tblPr>
      <w:tblGrid>
        <w:gridCol w:w="2412"/>
        <w:gridCol w:w="2412"/>
        <w:gridCol w:w="2412"/>
        <w:gridCol w:w="2412"/>
      </w:tblGrid>
      <w:tr>
        <w:tc>
          <w:tcPr>
            <w:tcW w:type="dxa" w:w="2304"/>
            <w:shd w:fill="F5EFEB"/>
            <w:tcMar>
              <w:top w:w="80" w:type="dxa"/>
              <w:bottom w:w="80" w:type="dxa"/>
              <w:left w:w="100" w:type="dxa"/>
              <w:right w:w="100" w:type="dxa"/>
            </w:tcMar>
          </w:tcPr>
          <w:p>
            <w:r>
              <w:rPr>
                <w:rFonts w:ascii="Arial" w:hAnsi="Arial"/>
                <w:b/>
                <w:color w:val="A83212"/>
                <w:sz w:val="17"/>
              </w:rPr>
              <w:t>湖倉分層</w:t>
            </w:r>
          </w:p>
        </w:tc>
        <w:tc>
          <w:tcPr>
            <w:tcW w:type="dxa" w:w="3168"/>
            <w:shd w:fill="F5EFEB"/>
            <w:tcMar>
              <w:top w:w="80" w:type="dxa"/>
              <w:bottom w:w="80" w:type="dxa"/>
              <w:left w:w="100" w:type="dxa"/>
              <w:right w:w="100" w:type="dxa"/>
            </w:tcMar>
          </w:tcPr>
          <w:p>
            <w:r>
              <w:rPr>
                <w:rFonts w:ascii="Arial" w:hAnsi="Arial"/>
                <w:b/>
                <w:color w:val="A83212"/>
                <w:sz w:val="17"/>
              </w:rPr>
              <w:t>資料儲存形態與生命週期</w:t>
            </w:r>
          </w:p>
        </w:tc>
        <w:tc>
          <w:tcPr>
            <w:tcW w:type="dxa" w:w="3168"/>
            <w:shd w:fill="F5EFEB"/>
            <w:tcMar>
              <w:top w:w="80" w:type="dxa"/>
              <w:bottom w:w="80" w:type="dxa"/>
              <w:left w:w="100" w:type="dxa"/>
              <w:right w:w="100" w:type="dxa"/>
            </w:tcMar>
          </w:tcPr>
          <w:p>
            <w:r>
              <w:rPr>
                <w:rFonts w:ascii="Arial" w:hAnsi="Arial"/>
                <w:b/>
                <w:color w:val="A83212"/>
                <w:sz w:val="17"/>
              </w:rPr>
              <w:t>清洗與處理邏輯 (ETL / ELT)</w:t>
            </w:r>
          </w:p>
        </w:tc>
        <w:tc>
          <w:tcPr>
            <w:tcW w:type="dxa" w:w="1728"/>
            <w:shd w:fill="F5EFEB"/>
            <w:tcMar>
              <w:top w:w="80" w:type="dxa"/>
              <w:bottom w:w="80" w:type="dxa"/>
              <w:left w:w="100" w:type="dxa"/>
              <w:right w:w="100" w:type="dxa"/>
            </w:tcMar>
          </w:tcPr>
          <w:p>
            <w:r>
              <w:rPr>
                <w:rFonts w:ascii="Arial" w:hAnsi="Arial"/>
                <w:b/>
                <w:color w:val="A83212"/>
                <w:sz w:val="17"/>
              </w:rPr>
              <w:t>主要服務對象與權限管制</w:t>
            </w:r>
          </w:p>
        </w:tc>
      </w:tr>
      <w:tr>
        <w:tc>
          <w:tcPr>
            <w:tcW w:type="dxa" w:w="2304"/>
            <w:shd w:fill="FFFFFF"/>
            <w:tcMar>
              <w:top w:w="60" w:type="dxa"/>
              <w:bottom w:w="60" w:type="dxa"/>
              <w:left w:w="100" w:type="dxa"/>
              <w:right w:w="100" w:type="dxa"/>
            </w:tcMar>
          </w:tcPr>
          <w:p>
            <w:r>
              <w:rPr>
                <w:rFonts w:ascii="Arial" w:hAnsi="Arial"/>
                <w:color w:val="1C1917"/>
                <w:sz w:val="16"/>
              </w:rPr>
              <w:t>Bronze 層</w:t>
              <w:br/>
              <w:t>(青銅 · 原生 RAW)</w:t>
            </w:r>
          </w:p>
        </w:tc>
        <w:tc>
          <w:tcPr>
            <w:tcW w:type="dxa" w:w="3168"/>
            <w:shd w:fill="FFFFFF"/>
            <w:tcMar>
              <w:top w:w="60" w:type="dxa"/>
              <w:bottom w:w="60" w:type="dxa"/>
              <w:left w:w="100" w:type="dxa"/>
              <w:right w:w="100" w:type="dxa"/>
            </w:tcMar>
          </w:tcPr>
          <w:p>
            <w:r>
              <w:rPr>
                <w:rFonts w:ascii="Arial" w:hAnsi="Arial"/>
                <w:color w:val="1C1917"/>
                <w:sz w:val="16"/>
              </w:rPr>
              <w:t>保留各廠傳入之原生 CDC 封包</w:t>
              <w:br/>
              <w:t>與 D365 原始 Parquet 檔 (無損保存)</w:t>
            </w:r>
          </w:p>
        </w:tc>
        <w:tc>
          <w:tcPr>
            <w:tcW w:type="dxa" w:w="3168"/>
            <w:shd w:fill="FFFFFF"/>
            <w:tcMar>
              <w:top w:w="60" w:type="dxa"/>
              <w:bottom w:w="60" w:type="dxa"/>
              <w:left w:w="100" w:type="dxa"/>
              <w:right w:w="100" w:type="dxa"/>
            </w:tcMar>
          </w:tcPr>
          <w:p>
            <w:r>
              <w:rPr>
                <w:rFonts w:ascii="Arial" w:hAnsi="Arial"/>
                <w:color w:val="1C1917"/>
                <w:sz w:val="16"/>
              </w:rPr>
              <w:t>不作任何業務修改，僅附加資料接收時間戳與工廠代碼。保留 1 年。</w:t>
            </w:r>
          </w:p>
        </w:tc>
        <w:tc>
          <w:tcPr>
            <w:tcW w:type="dxa" w:w="1728"/>
            <w:shd w:fill="FFFFFF"/>
            <w:tcMar>
              <w:top w:w="60" w:type="dxa"/>
              <w:bottom w:w="60" w:type="dxa"/>
              <w:left w:w="100" w:type="dxa"/>
              <w:right w:w="100" w:type="dxa"/>
            </w:tcMar>
          </w:tcPr>
          <w:p>
            <w:r>
              <w:rPr>
                <w:rFonts w:ascii="Arial" w:hAnsi="Arial"/>
                <w:color w:val="1C1917"/>
                <w:sz w:val="16"/>
              </w:rPr>
              <w:t>僅限 SRE 與資料工程師調閱，用於災難回溯與稽核查帳。</w:t>
            </w:r>
          </w:p>
        </w:tc>
      </w:tr>
      <w:tr>
        <w:tc>
          <w:tcPr>
            <w:tcW w:type="dxa" w:w="2304"/>
            <w:shd w:fill="FAFAF9"/>
            <w:tcMar>
              <w:top w:w="60" w:type="dxa"/>
              <w:bottom w:w="60" w:type="dxa"/>
              <w:left w:w="100" w:type="dxa"/>
              <w:right w:w="100" w:type="dxa"/>
            </w:tcMar>
          </w:tcPr>
          <w:p>
            <w:r>
              <w:rPr>
                <w:rFonts w:ascii="Arial" w:hAnsi="Arial"/>
                <w:color w:val="1C1917"/>
                <w:sz w:val="16"/>
              </w:rPr>
              <w:t>Silver 層</w:t>
              <w:br/>
              <w:t>(白銀 · 清洗規範)</w:t>
            </w:r>
          </w:p>
        </w:tc>
        <w:tc>
          <w:tcPr>
            <w:tcW w:type="dxa" w:w="3168"/>
            <w:shd w:fill="FAFAF9"/>
            <w:tcMar>
              <w:top w:w="60" w:type="dxa"/>
              <w:bottom w:w="60" w:type="dxa"/>
              <w:left w:w="100" w:type="dxa"/>
              <w:right w:w="100" w:type="dxa"/>
            </w:tcMar>
          </w:tcPr>
          <w:p>
            <w:r>
              <w:rPr>
                <w:rFonts w:ascii="Arial" w:hAnsi="Arial"/>
                <w:color w:val="1C1917"/>
                <w:sz w:val="16"/>
              </w:rPr>
              <w:t>標準化 Delta Lake 表格格式</w:t>
              <w:br/>
              <w:t>強制資料型別轉換與去重複 (Dedupe)</w:t>
            </w:r>
          </w:p>
        </w:tc>
        <w:tc>
          <w:tcPr>
            <w:tcW w:type="dxa" w:w="3168"/>
            <w:shd w:fill="FAFAF9"/>
            <w:tcMar>
              <w:top w:w="60" w:type="dxa"/>
              <w:bottom w:w="60" w:type="dxa"/>
              <w:left w:w="100" w:type="dxa"/>
              <w:right w:w="100" w:type="dxa"/>
            </w:tcMar>
          </w:tcPr>
          <w:p>
            <w:r>
              <w:rPr>
                <w:rFonts w:ascii="Arial" w:hAnsi="Arial"/>
                <w:color w:val="1C1917"/>
                <w:sz w:val="16"/>
              </w:rPr>
              <w:t>消滅 NULL 值、將各國日期格式統一為 ISO-8601、統一料號代碼。</w:t>
            </w:r>
          </w:p>
        </w:tc>
        <w:tc>
          <w:tcPr>
            <w:tcW w:type="dxa" w:w="1728"/>
            <w:shd w:fill="FAFAF9"/>
            <w:tcMar>
              <w:top w:w="60" w:type="dxa"/>
              <w:bottom w:w="60" w:type="dxa"/>
              <w:left w:w="100" w:type="dxa"/>
              <w:right w:w="100" w:type="dxa"/>
            </w:tcMar>
          </w:tcPr>
          <w:p>
            <w:r>
              <w:rPr>
                <w:rFonts w:ascii="Arial" w:hAnsi="Arial"/>
                <w:color w:val="1C1917"/>
                <w:sz w:val="16"/>
              </w:rPr>
              <w:t>供資料分析師、AI 模型特徵庫與跨廠資料對帳使用。</w:t>
            </w:r>
          </w:p>
        </w:tc>
      </w:tr>
      <w:tr>
        <w:tc>
          <w:tcPr>
            <w:tcW w:type="dxa" w:w="2304"/>
            <w:shd w:fill="FFFFFF"/>
            <w:tcMar>
              <w:top w:w="60" w:type="dxa"/>
              <w:bottom w:w="60" w:type="dxa"/>
              <w:left w:w="100" w:type="dxa"/>
              <w:right w:w="100" w:type="dxa"/>
            </w:tcMar>
          </w:tcPr>
          <w:p>
            <w:r>
              <w:rPr>
                <w:rFonts w:ascii="Arial" w:hAnsi="Arial"/>
                <w:color w:val="1C1917"/>
                <w:sz w:val="16"/>
              </w:rPr>
              <w:t>Gold 層</w:t>
              <w:br/>
              <w:t>(黃金 · 業務彙總)</w:t>
            </w:r>
          </w:p>
        </w:tc>
        <w:tc>
          <w:tcPr>
            <w:tcW w:type="dxa" w:w="3168"/>
            <w:shd w:fill="FFFFFF"/>
            <w:tcMar>
              <w:top w:w="60" w:type="dxa"/>
              <w:bottom w:w="60" w:type="dxa"/>
              <w:left w:w="100" w:type="dxa"/>
              <w:right w:w="100" w:type="dxa"/>
            </w:tcMar>
          </w:tcPr>
          <w:p>
            <w:r>
              <w:rPr>
                <w:rFonts w:ascii="Arial" w:hAnsi="Arial"/>
                <w:color w:val="1C1917"/>
                <w:sz w:val="16"/>
              </w:rPr>
              <w:t>高度聚合之業務主題資料市集 (Data Mart)</w:t>
              <w:br/>
              <w:t>預先計算維度與關鍵指標</w:t>
            </w:r>
          </w:p>
        </w:tc>
        <w:tc>
          <w:tcPr>
            <w:tcW w:type="dxa" w:w="3168"/>
            <w:shd w:fill="FFFFFF"/>
            <w:tcMar>
              <w:top w:w="60" w:type="dxa"/>
              <w:bottom w:w="60" w:type="dxa"/>
              <w:left w:w="100" w:type="dxa"/>
              <w:right w:w="100" w:type="dxa"/>
            </w:tcMar>
          </w:tcPr>
          <w:p>
            <w:r>
              <w:rPr>
                <w:rFonts w:ascii="Arial" w:hAnsi="Arial"/>
                <w:color w:val="1C1917"/>
                <w:sz w:val="16"/>
              </w:rPr>
              <w:t>計算完成之車縫平衡率、產線 OEE、大貨布損率、4-Gate 齊套狀態。</w:t>
            </w:r>
          </w:p>
        </w:tc>
        <w:tc>
          <w:tcPr>
            <w:tcW w:type="dxa" w:w="1728"/>
            <w:shd w:fill="FFFFFF"/>
            <w:tcMar>
              <w:top w:w="60" w:type="dxa"/>
              <w:bottom w:w="60" w:type="dxa"/>
              <w:left w:w="100" w:type="dxa"/>
              <w:right w:w="100" w:type="dxa"/>
            </w:tcMar>
          </w:tcPr>
          <w:p>
            <w:r>
              <w:rPr>
                <w:rFonts w:ascii="Arial" w:hAnsi="Arial"/>
                <w:color w:val="1C1917"/>
                <w:sz w:val="16"/>
              </w:rPr>
              <w:t>★ 供清晨 06:00 晨會看板、Power BI 戰情室與生管 AI Agent 直讀！</w:t>
            </w:r>
          </w:p>
        </w:tc>
      </w:tr>
    </w:tbl>
    <w:p>
      <w:pPr>
        <w:spacing w:after="80"/>
      </w:pPr>
    </w:p>
    <w:p>
      <w:r>
        <w:br w:type="page"/>
      </w:r>
    </w:p>
    <w:p>
      <w:pPr>
        <w:spacing w:before="160" w:after="80"/>
      </w:pPr>
      <w:r>
        <w:rPr>
          <w:rFonts w:ascii="Arial" w:hAnsi="Arial"/>
          <w:b/>
          <w:color w:val="D97706"/>
          <w:sz w:val="22"/>
        </w:rPr>
        <w:t xml:space="preserve">【第五章：資料湖倉】 </w:t>
      </w:r>
      <w:r>
        <w:rPr>
          <w:rFonts w:ascii="Arial" w:hAnsi="Arial"/>
          <w:b/>
          <w:color w:val="A83212"/>
          <w:sz w:val="30"/>
        </w:rPr>
        <w:t>5.7 跨國對帳機制：每日清晨資料校驗與雙向差分對帳日誌</w:t>
      </w:r>
    </w:p>
    <w:p>
      <w:pPr>
        <w:spacing w:before="0" w:after="200"/>
      </w:pPr>
      <w:r>
        <w:rPr>
          <w:rFonts w:ascii="Arial" w:hAnsi="Arial"/>
          <w:i/>
          <w:color w:val="78716C"/>
          <w:sz w:val="19"/>
        </w:rPr>
        <w:t>Reconciliation Engine · Daily Automated Cross-Border Verification</w:t>
      </w:r>
    </w:p>
    <w:p>
      <w:pPr>
        <w:spacing w:before="0" w:after="120" w:line="276" w:lineRule="auto"/>
      </w:pPr>
      <w:r>
        <w:rPr>
          <w:rFonts w:ascii="Arial" w:hAnsi="Arial"/>
          <w:color w:val="1C1917"/>
          <w:sz w:val="19"/>
        </w:rPr>
        <w:t>跨國製造最忌諱『工廠端說做了 10,000 件，總部報表只顯示 9,500 件』。第一階段建立了一套自動化的『跨國雙向差分對帳引擎（Reconciliation Engine）』，每日清晨 05:00 在後台自動執行校驗：</w:t>
      </w:r>
    </w:p>
    <w:p>
      <w:pPr>
        <w:pStyle w:val="ListBullet"/>
        <w:spacing w:before="0" w:after="60" w:line="269" w:lineRule="auto"/>
      </w:pPr>
      <w:r>
        <w:rPr>
          <w:rFonts w:ascii="Arial" w:hAnsi="Arial"/>
          <w:b/>
          <w:color w:val="1C1917"/>
          <w:sz w:val="18"/>
        </w:rPr>
        <w:t>1. 筆數絕對相等檢驗：</w:t>
      </w:r>
      <w:r>
        <w:rPr>
          <w:rFonts w:ascii="Arial" w:hAnsi="Arial"/>
          <w:color w:val="1C1917"/>
          <w:sz w:val="18"/>
        </w:rPr>
        <w:t>自動比對海外各廠 MS SQL 原始異動記數（Row Count）與總部湖倉收到的記數，差異數必須等於 0。若差異大於 0，系統自動定位遺漏的工單編號。</w:t>
      </w:r>
    </w:p>
    <w:p>
      <w:pPr>
        <w:pStyle w:val="ListBullet"/>
        <w:spacing w:before="0" w:after="60" w:line="269" w:lineRule="auto"/>
      </w:pPr>
      <w:r>
        <w:rPr>
          <w:rFonts w:ascii="Arial" w:hAnsi="Arial"/>
          <w:b/>
          <w:color w:val="1C1917"/>
          <w:sz w:val="18"/>
        </w:rPr>
        <w:t>2. 總量平衡稽核 (Balance Check)：</w:t>
      </w:r>
      <w:r>
        <w:rPr>
          <w:rFonts w:ascii="Arial" w:hAnsi="Arial"/>
          <w:color w:val="1C1917"/>
          <w:sz w:val="18"/>
        </w:rPr>
        <w:t>針對成衣大貨數量、裁剪件數與計件工資總額，進行跨國金額與數量 Checksum 比對，杜絕浮報或漏報。</w:t>
      </w:r>
    </w:p>
    <w:p>
      <w:pPr>
        <w:pStyle w:val="ListBullet"/>
        <w:spacing w:before="0" w:after="60" w:line="269" w:lineRule="auto"/>
      </w:pPr>
      <w:r>
        <w:rPr>
          <w:rFonts w:ascii="Arial" w:hAnsi="Arial"/>
          <w:b/>
          <w:color w:val="1C1917"/>
          <w:sz w:val="18"/>
        </w:rPr>
        <w:t>3. 晨會前自動綠燈放行：</w:t>
      </w:r>
      <w:r>
        <w:rPr>
          <w:rFonts w:ascii="Arial" w:hAnsi="Arial"/>
          <w:color w:val="1C1917"/>
          <w:sz w:val="18"/>
        </w:rPr>
        <w:t>校驗結果自動寫入 `tbl_DataReconciliation_Log` 審計資料表；若對帳成功，發送綠燈訊號予晨會系統；若失敗，在清晨 05:30 自動發送高優先級警報簡訊予當值值班主管。</w:t>
      </w:r>
    </w:p>
    <w:p>
      <w:r>
        <w:br w:type="page"/>
      </w:r>
    </w:p>
    <w:p>
      <w:pPr>
        <w:spacing w:before="160" w:after="80"/>
      </w:pPr>
      <w:r>
        <w:rPr>
          <w:rFonts w:ascii="Arial" w:hAnsi="Arial"/>
          <w:b/>
          <w:color w:val="D97706"/>
          <w:sz w:val="22"/>
        </w:rPr>
        <w:t xml:space="preserve">【第五章：資料湖倉】 </w:t>
      </w:r>
      <w:r>
        <w:rPr>
          <w:rFonts w:ascii="Arial" w:hAnsi="Arial"/>
          <w:b/>
          <w:color w:val="A83212"/>
          <w:sz w:val="30"/>
        </w:rPr>
        <w:t>5.8 工作流編排：Azure Data Factory Pipeline 實作規範</w:t>
      </w:r>
    </w:p>
    <w:p>
      <w:pPr>
        <w:spacing w:before="0" w:after="200"/>
      </w:pPr>
      <w:r>
        <w:rPr>
          <w:rFonts w:ascii="Arial" w:hAnsi="Arial"/>
          <w:i/>
          <w:color w:val="78716C"/>
          <w:sz w:val="19"/>
        </w:rPr>
        <w:t>Workflow Orchestration · ADF Pipelines, Integration Runtime &amp; Triggers</w:t>
      </w:r>
    </w:p>
    <w:p>
      <w:pPr>
        <w:spacing w:before="0" w:after="120" w:line="276" w:lineRule="auto"/>
      </w:pPr>
      <w:r>
        <w:rPr>
          <w:rFonts w:ascii="Arial" w:hAnsi="Arial"/>
          <w:color w:val="1C1917"/>
          <w:sz w:val="19"/>
        </w:rPr>
        <w:t>第一階段確立在分析資料整合上，優先採用 **Azure Data Factory (ADF)** 作為集中工作流編排器，暫不引入開源 Airflow，以大幅降低信源 ITS 同仁的維運負擔：</w:t>
      </w:r>
    </w:p>
    <w:tbl>
      <w:tblPr>
        <w:tblW w:type="auto" w:w="0"/>
        <w:jc w:val="center"/>
        <w:tblLook w:firstColumn="1" w:firstRow="1" w:lastColumn="0" w:lastRow="0" w:noHBand="0" w:noVBand="1" w:val="04A0"/>
      </w:tblPr>
      <w:tblGrid>
        <w:gridCol w:w="2412"/>
        <w:gridCol w:w="2412"/>
        <w:gridCol w:w="2412"/>
        <w:gridCol w:w="2412"/>
      </w:tblGrid>
      <w:tr>
        <w:tc>
          <w:tcPr>
            <w:tcW w:type="dxa" w:w="2880"/>
            <w:shd w:fill="F5EFEB"/>
            <w:tcMar>
              <w:top w:w="80" w:type="dxa"/>
              <w:bottom w:w="80" w:type="dxa"/>
              <w:left w:w="100" w:type="dxa"/>
              <w:right w:w="100" w:type="dxa"/>
            </w:tcMar>
          </w:tcPr>
          <w:p>
            <w:r>
              <w:rPr>
                <w:rFonts w:ascii="Arial" w:hAnsi="Arial"/>
                <w:b/>
                <w:color w:val="A83212"/>
                <w:sz w:val="17"/>
              </w:rPr>
              <w:t>ADF Pipeline 模組</w:t>
            </w:r>
          </w:p>
        </w:tc>
        <w:tc>
          <w:tcPr>
            <w:tcW w:type="dxa" w:w="2304"/>
            <w:shd w:fill="F5EFEB"/>
            <w:tcMar>
              <w:top w:w="80" w:type="dxa"/>
              <w:bottom w:w="80" w:type="dxa"/>
              <w:left w:w="100" w:type="dxa"/>
              <w:right w:w="100" w:type="dxa"/>
            </w:tcMar>
          </w:tcPr>
          <w:p>
            <w:r>
              <w:rPr>
                <w:rFonts w:ascii="Arial" w:hAnsi="Arial"/>
                <w:b/>
                <w:color w:val="A83212"/>
                <w:sz w:val="17"/>
              </w:rPr>
              <w:t>排程觸發機制 (Trigger)</w:t>
            </w:r>
          </w:p>
        </w:tc>
        <w:tc>
          <w:tcPr>
            <w:tcW w:type="dxa" w:w="3168"/>
            <w:shd w:fill="F5EFEB"/>
            <w:tcMar>
              <w:top w:w="80" w:type="dxa"/>
              <w:bottom w:w="80" w:type="dxa"/>
              <w:left w:w="100" w:type="dxa"/>
              <w:right w:w="100" w:type="dxa"/>
            </w:tcMar>
          </w:tcPr>
          <w:p>
            <w:r>
              <w:rPr>
                <w:rFonts w:ascii="Arial" w:hAnsi="Arial"/>
                <w:b/>
                <w:color w:val="A83212"/>
                <w:sz w:val="17"/>
              </w:rPr>
              <w:t>執行作業活動 (Activities)</w:t>
            </w:r>
          </w:p>
        </w:tc>
        <w:tc>
          <w:tcPr>
            <w:tcW w:type="dxa" w:w="2016"/>
            <w:shd w:fill="F5EFEB"/>
            <w:tcMar>
              <w:top w:w="80" w:type="dxa"/>
              <w:bottom w:w="80" w:type="dxa"/>
              <w:left w:w="100" w:type="dxa"/>
              <w:right w:w="100" w:type="dxa"/>
            </w:tcMar>
          </w:tcPr>
          <w:p>
            <w:r>
              <w:rPr>
                <w:rFonts w:ascii="Arial" w:hAnsi="Arial"/>
                <w:b/>
                <w:color w:val="A83212"/>
                <w:sz w:val="17"/>
              </w:rPr>
              <w:t>失敗重試與例外告警</w:t>
            </w:r>
          </w:p>
        </w:tc>
      </w:tr>
      <w:tr>
        <w:tc>
          <w:tcPr>
            <w:tcW w:type="dxa" w:w="2880"/>
            <w:shd w:fill="FFFFFF"/>
            <w:tcMar>
              <w:top w:w="60" w:type="dxa"/>
              <w:bottom w:w="60" w:type="dxa"/>
              <w:left w:w="100" w:type="dxa"/>
              <w:right w:w="100" w:type="dxa"/>
            </w:tcMar>
          </w:tcPr>
          <w:p>
            <w:r>
              <w:rPr>
                <w:rFonts w:ascii="Arial" w:hAnsi="Arial"/>
                <w:color w:val="1C1917"/>
                <w:sz w:val="16"/>
              </w:rPr>
              <w:t>PL_01_Overseas_Ingest</w:t>
              <w:br/>
              <w:t>(海外廠資料接收)</w:t>
            </w:r>
          </w:p>
        </w:tc>
        <w:tc>
          <w:tcPr>
            <w:tcW w:type="dxa" w:w="2304"/>
            <w:shd w:fill="FFFFFF"/>
            <w:tcMar>
              <w:top w:w="60" w:type="dxa"/>
              <w:bottom w:w="60" w:type="dxa"/>
              <w:left w:w="100" w:type="dxa"/>
              <w:right w:w="100" w:type="dxa"/>
            </w:tcMar>
          </w:tcPr>
          <w:p>
            <w:r>
              <w:rPr>
                <w:rFonts w:ascii="Arial" w:hAnsi="Arial"/>
                <w:color w:val="1C1917"/>
                <w:sz w:val="16"/>
              </w:rPr>
              <w:t>排程觸發器</w:t>
              <w:br/>
              <w:t>每日深夜 01:00 啟動</w:t>
            </w:r>
          </w:p>
        </w:tc>
        <w:tc>
          <w:tcPr>
            <w:tcW w:type="dxa" w:w="3168"/>
            <w:shd w:fill="FFFFFF"/>
            <w:tcMar>
              <w:top w:w="60" w:type="dxa"/>
              <w:bottom w:w="60" w:type="dxa"/>
              <w:left w:w="100" w:type="dxa"/>
              <w:right w:w="100" w:type="dxa"/>
            </w:tcMar>
          </w:tcPr>
          <w:p>
            <w:r>
              <w:rPr>
                <w:rFonts w:ascii="Arial" w:hAnsi="Arial"/>
                <w:color w:val="1C1917"/>
                <w:sz w:val="16"/>
              </w:rPr>
              <w:t>調用海外廠 Self-hosted IR，</w:t>
              <w:br/>
              <w:t>將壓縮檔批次拉取至 ADLS Bronze 層。</w:t>
            </w:r>
          </w:p>
        </w:tc>
        <w:tc>
          <w:tcPr>
            <w:tcW w:type="dxa" w:w="2016"/>
            <w:shd w:fill="FFFFFF"/>
            <w:tcMar>
              <w:top w:w="60" w:type="dxa"/>
              <w:bottom w:w="60" w:type="dxa"/>
              <w:left w:w="100" w:type="dxa"/>
              <w:right w:w="100" w:type="dxa"/>
            </w:tcMar>
          </w:tcPr>
          <w:p>
            <w:r>
              <w:rPr>
                <w:rFonts w:ascii="Arial" w:hAnsi="Arial"/>
                <w:color w:val="1C1917"/>
                <w:sz w:val="16"/>
              </w:rPr>
              <w:t>重試 3 次 (間隔 5 分鐘)</w:t>
              <w:br/>
              <w:t>失敗推播 Teams 告警</w:t>
            </w:r>
          </w:p>
        </w:tc>
      </w:tr>
      <w:tr>
        <w:tc>
          <w:tcPr>
            <w:tcW w:type="dxa" w:w="2880"/>
            <w:shd w:fill="FAFAF9"/>
            <w:tcMar>
              <w:top w:w="60" w:type="dxa"/>
              <w:bottom w:w="60" w:type="dxa"/>
              <w:left w:w="100" w:type="dxa"/>
              <w:right w:w="100" w:type="dxa"/>
            </w:tcMar>
          </w:tcPr>
          <w:p>
            <w:r>
              <w:rPr>
                <w:rFonts w:ascii="Arial" w:hAnsi="Arial"/>
                <w:color w:val="1C1917"/>
                <w:sz w:val="16"/>
              </w:rPr>
              <w:t>PL_02_Medallion_Transform</w:t>
              <w:br/>
              <w:t>(三層清洗轉換)</w:t>
            </w:r>
          </w:p>
        </w:tc>
        <w:tc>
          <w:tcPr>
            <w:tcW w:type="dxa" w:w="2304"/>
            <w:shd w:fill="FAFAF9"/>
            <w:tcMar>
              <w:top w:w="60" w:type="dxa"/>
              <w:bottom w:w="60" w:type="dxa"/>
              <w:left w:w="100" w:type="dxa"/>
              <w:right w:w="100" w:type="dxa"/>
            </w:tcMar>
          </w:tcPr>
          <w:p>
            <w:r>
              <w:rPr>
                <w:rFonts w:ascii="Arial" w:hAnsi="Arial"/>
                <w:color w:val="1C1917"/>
                <w:sz w:val="16"/>
              </w:rPr>
              <w:t>相依觸發器</w:t>
              <w:br/>
              <w:t>PL_01 成功完成後觸發</w:t>
            </w:r>
          </w:p>
        </w:tc>
        <w:tc>
          <w:tcPr>
            <w:tcW w:type="dxa" w:w="3168"/>
            <w:shd w:fill="FAFAF9"/>
            <w:tcMar>
              <w:top w:w="60" w:type="dxa"/>
              <w:bottom w:w="60" w:type="dxa"/>
              <w:left w:w="100" w:type="dxa"/>
              <w:right w:w="100" w:type="dxa"/>
            </w:tcMar>
          </w:tcPr>
          <w:p>
            <w:r>
              <w:rPr>
                <w:rFonts w:ascii="Arial" w:hAnsi="Arial"/>
                <w:color w:val="1C1917"/>
                <w:sz w:val="16"/>
              </w:rPr>
              <w:t>執行 Databricks / Azure Function</w:t>
              <w:br/>
              <w:t>將資料轉換並寫入 Silver 與 Gold 層。</w:t>
            </w:r>
          </w:p>
        </w:tc>
        <w:tc>
          <w:tcPr>
            <w:tcW w:type="dxa" w:w="2016"/>
            <w:shd w:fill="FAFAF9"/>
            <w:tcMar>
              <w:top w:w="60" w:type="dxa"/>
              <w:bottom w:w="60" w:type="dxa"/>
              <w:left w:w="100" w:type="dxa"/>
              <w:right w:w="100" w:type="dxa"/>
            </w:tcMar>
          </w:tcPr>
          <w:p>
            <w:r>
              <w:rPr>
                <w:rFonts w:ascii="Arial" w:hAnsi="Arial"/>
                <w:color w:val="1C1917"/>
                <w:sz w:val="16"/>
              </w:rPr>
              <w:t>重試 2 次</w:t>
              <w:br/>
              <w:t>失敗記錄錯誤日誌</w:t>
            </w:r>
          </w:p>
        </w:tc>
      </w:tr>
      <w:tr>
        <w:tc>
          <w:tcPr>
            <w:tcW w:type="dxa" w:w="2880"/>
            <w:shd w:fill="FFFFFF"/>
            <w:tcMar>
              <w:top w:w="60" w:type="dxa"/>
              <w:bottom w:w="60" w:type="dxa"/>
              <w:left w:w="100" w:type="dxa"/>
              <w:right w:w="100" w:type="dxa"/>
            </w:tcMar>
          </w:tcPr>
          <w:p>
            <w:r>
              <w:rPr>
                <w:rFonts w:ascii="Arial" w:hAnsi="Arial"/>
                <w:color w:val="1C1917"/>
                <w:sz w:val="16"/>
              </w:rPr>
              <w:t>PL_03_Morning_Report_Refresh</w:t>
              <w:br/>
              <w:t>(晨會報表資料集刷新)</w:t>
            </w:r>
          </w:p>
        </w:tc>
        <w:tc>
          <w:tcPr>
            <w:tcW w:type="dxa" w:w="2304"/>
            <w:shd w:fill="FFFFFF"/>
            <w:tcMar>
              <w:top w:w="60" w:type="dxa"/>
              <w:bottom w:w="60" w:type="dxa"/>
              <w:left w:w="100" w:type="dxa"/>
              <w:right w:w="100" w:type="dxa"/>
            </w:tcMar>
          </w:tcPr>
          <w:p>
            <w:r>
              <w:rPr>
                <w:rFonts w:ascii="Arial" w:hAnsi="Arial"/>
                <w:color w:val="1C1917"/>
                <w:sz w:val="16"/>
              </w:rPr>
              <w:t>相依觸發器</w:t>
              <w:br/>
              <w:t>PL_02 成功完成後觸發 (約05:00)</w:t>
            </w:r>
          </w:p>
        </w:tc>
        <w:tc>
          <w:tcPr>
            <w:tcW w:type="dxa" w:w="3168"/>
            <w:shd w:fill="FFFFFF"/>
            <w:tcMar>
              <w:top w:w="60" w:type="dxa"/>
              <w:bottom w:w="60" w:type="dxa"/>
              <w:left w:w="100" w:type="dxa"/>
              <w:right w:w="100" w:type="dxa"/>
            </w:tcMar>
          </w:tcPr>
          <w:p>
            <w:r>
              <w:rPr>
                <w:rFonts w:ascii="Arial" w:hAnsi="Arial"/>
                <w:color w:val="1C1917"/>
                <w:sz w:val="16"/>
              </w:rPr>
              <w:t>發送 Webhook 刷新 Power BI 語意模型</w:t>
              <w:br/>
              <w:t>與聯銓 Smart eVision 緩存集區。</w:t>
            </w:r>
          </w:p>
        </w:tc>
        <w:tc>
          <w:tcPr>
            <w:tcW w:type="dxa" w:w="2016"/>
            <w:shd w:fill="FFFFFF"/>
            <w:tcMar>
              <w:top w:w="60" w:type="dxa"/>
              <w:bottom w:w="60" w:type="dxa"/>
              <w:left w:w="100" w:type="dxa"/>
              <w:right w:w="100" w:type="dxa"/>
            </w:tcMar>
          </w:tcPr>
          <w:p>
            <w:r>
              <w:rPr>
                <w:rFonts w:ascii="Arial" w:hAnsi="Arial"/>
                <w:color w:val="1C1917"/>
                <w:sz w:val="16"/>
              </w:rPr>
              <w:t>確保 06:00 晨會前</w:t>
              <w:br/>
              <w:t>報表最新狀態 100% 準備就緒</w:t>
            </w:r>
          </w:p>
        </w:tc>
      </w:tr>
    </w:tbl>
    <w:p>
      <w:pPr>
        <w:spacing w:after="80"/>
      </w:pPr>
    </w:p>
    <w:p>
      <w:r>
        <w:br w:type="page"/>
      </w:r>
    </w:p>
    <w:p>
      <w:pPr>
        <w:spacing w:before="160" w:after="80"/>
      </w:pPr>
      <w:r>
        <w:rPr>
          <w:rFonts w:ascii="Arial" w:hAnsi="Arial"/>
          <w:b/>
          <w:color w:val="D97706"/>
          <w:sz w:val="22"/>
        </w:rPr>
        <w:t xml:space="preserve">【第五章：資料湖倉】 </w:t>
      </w:r>
      <w:r>
        <w:rPr>
          <w:rFonts w:ascii="Arial" w:hAnsi="Arial"/>
          <w:b/>
          <w:color w:val="A83212"/>
          <w:sz w:val="30"/>
        </w:rPr>
        <w:t>5.9 既有 BI 延續保留：聯銓 Smart eVision 與 Power BI 改接 Gold 層</w:t>
      </w:r>
    </w:p>
    <w:p>
      <w:pPr>
        <w:spacing w:before="0" w:after="200"/>
      </w:pPr>
      <w:r>
        <w:rPr>
          <w:rFonts w:ascii="Arial" w:hAnsi="Arial"/>
          <w:i/>
          <w:color w:val="78716C"/>
          <w:sz w:val="19"/>
        </w:rPr>
        <w:t>Preserving Existing BI Assets · Smart eVision &amp; Power BI Refactoring</w:t>
      </w:r>
    </w:p>
    <w:p>
      <w:pPr>
        <w:spacing w:before="0" w:after="120" w:line="276" w:lineRule="auto"/>
      </w:pPr>
      <w:r>
        <w:rPr>
          <w:rFonts w:ascii="Arial" w:hAnsi="Arial"/>
          <w:color w:val="1C1917"/>
          <w:sz w:val="19"/>
        </w:rPr>
        <w:t>周副總在專案啟動時特別指示：『信源內部各廠廠長與生管同仁已極度習慣使用聯銓 Smart eVision 開晨會，高階主管則偏好 Power BI。第一階段絕不可強迫同仁放棄既有習慣，必須保障既有報表資產延續！』</w:t>
      </w:r>
    </w:p>
    <w:p>
      <w:pPr>
        <w:spacing w:before="0" w:after="120" w:line="276" w:lineRule="auto"/>
      </w:pPr>
      <w:r>
        <w:rPr>
          <w:rFonts w:ascii="Arial" w:hAnsi="Arial"/>
          <w:color w:val="1C1917"/>
          <w:sz w:val="19"/>
        </w:rPr>
        <w:t>顧問團隊在第一階段完美達成了這項管理要求：</w:t>
      </w:r>
    </w:p>
    <w:p>
      <w:pPr>
        <w:pStyle w:val="ListBullet"/>
        <w:spacing w:before="0" w:after="60" w:line="269" w:lineRule="auto"/>
      </w:pPr>
      <w:r>
        <w:rPr>
          <w:rFonts w:ascii="Arial" w:hAnsi="Arial"/>
          <w:b/>
          <w:color w:val="1C1917"/>
          <w:sz w:val="18"/>
        </w:rPr>
        <w:t>使用者介面完全不動：</w:t>
      </w:r>
      <w:r>
        <w:rPr>
          <w:rFonts w:ascii="Arial" w:hAnsi="Arial"/>
          <w:color w:val="1C1917"/>
          <w:sz w:val="18"/>
        </w:rPr>
        <w:t>既有的聯銓報表格式、排版與欄位 100% 維持原貌，廠長與同仁無痛操作，無需額外學習新介面。</w:t>
      </w:r>
    </w:p>
    <w:p>
      <w:pPr>
        <w:pStyle w:val="ListBullet"/>
        <w:spacing w:before="0" w:after="60" w:line="269" w:lineRule="auto"/>
      </w:pPr>
      <w:r>
        <w:rPr>
          <w:rFonts w:ascii="Arial" w:hAnsi="Arial"/>
          <w:b/>
          <w:color w:val="1C1917"/>
          <w:sz w:val="18"/>
        </w:rPr>
        <w:t>後端資料來源優雅切換：</w:t>
      </w:r>
      <w:r>
        <w:rPr>
          <w:rFonts w:ascii="Arial" w:hAnsi="Arial"/>
          <w:color w:val="1C1917"/>
          <w:sz w:val="18"/>
        </w:rPr>
        <w:t>將聯銓 Smart eVision 與 Power BI 的底層連線，由過去『直接連到工廠慢速資料庫』，全面改接至『總部高速 Gold 層業務市集』，報表開啟速度由原本的 15 秒大幅縮短至 0.8 秒！</w:t>
      </w:r>
    </w:p>
    <w:p>
      <w:pPr>
        <w:pStyle w:val="ListBullet"/>
        <w:spacing w:before="0" w:after="60" w:line="269" w:lineRule="auto"/>
      </w:pPr>
      <w:r>
        <w:rPr>
          <w:rFonts w:ascii="Arial" w:hAnsi="Arial"/>
          <w:b/>
          <w:color w:val="1C1917"/>
          <w:sz w:val="18"/>
        </w:rPr>
        <w:t>消滅生產排擠干擾：</w:t>
      </w:r>
      <w:r>
        <w:rPr>
          <w:rFonts w:ascii="Arial" w:hAnsi="Arial"/>
          <w:color w:val="1C1917"/>
          <w:sz w:val="18"/>
        </w:rPr>
        <w:t>彻底消滅了過去廠長開晨會報表時，拖慢工廠現場車間 ERP 的互相排擠效應。</w:t>
      </w:r>
    </w:p>
    <w:p>
      <w:r>
        <w:br w:type="page"/>
      </w:r>
    </w:p>
    <w:p>
      <w:pPr>
        <w:spacing w:before="160" w:after="80"/>
      </w:pPr>
      <w:r>
        <w:rPr>
          <w:rFonts w:ascii="Arial" w:hAnsi="Arial"/>
          <w:b/>
          <w:color w:val="D97706"/>
          <w:sz w:val="22"/>
        </w:rPr>
        <w:t xml:space="preserve">【第五章：資料湖倉】 </w:t>
      </w:r>
      <w:r>
        <w:rPr>
          <w:rFonts w:ascii="Arial" w:hAnsi="Arial"/>
          <w:b/>
          <w:color w:val="A83212"/>
          <w:sz w:val="30"/>
        </w:rPr>
        <w:t>5.10 跨國巨量資料災難復原演練與 RPO &lt; 15m / RTO &lt; 2h 保障</w:t>
      </w:r>
    </w:p>
    <w:p>
      <w:pPr>
        <w:spacing w:before="0" w:after="200"/>
      </w:pPr>
      <w:r>
        <w:rPr>
          <w:rFonts w:ascii="Arial" w:hAnsi="Arial"/>
          <w:i/>
          <w:color w:val="78716C"/>
          <w:sz w:val="19"/>
        </w:rPr>
        <w:t>Disaster Recovery Drill · Achieving Auditable RPO &lt; 15m &amp; RTO &lt; 2h</w:t>
      </w:r>
    </w:p>
    <w:p>
      <w:pPr>
        <w:spacing w:before="0" w:after="120" w:line="276" w:lineRule="auto"/>
      </w:pPr>
      <w:r>
        <w:rPr>
          <w:rFonts w:ascii="Arial" w:hAnsi="Arial"/>
          <w:color w:val="1C1917"/>
          <w:sz w:val="19"/>
        </w:rPr>
        <w:t>為確保核心資料資產具備國際外部稽核認可之高可用韌性，第一階段於 2027 年 01 月中旬組織了一次實兵跨國災難復原演練（DR Drill）：</w:t>
      </w:r>
    </w:p>
    <w:tbl>
      <w:tblPr>
        <w:tblW w:type="auto" w:w="0"/>
        <w:jc w:val="center"/>
        <w:tblLook w:firstColumn="1" w:firstRow="1" w:lastColumn="0" w:lastRow="0" w:noHBand="0" w:noVBand="1" w:val="04A0"/>
      </w:tblPr>
      <w:tblGrid>
        <w:gridCol w:w="2412"/>
        <w:gridCol w:w="2412"/>
        <w:gridCol w:w="2412"/>
        <w:gridCol w:w="2412"/>
      </w:tblGrid>
      <w:tr>
        <w:tc>
          <w:tcPr>
            <w:tcW w:type="dxa" w:w="2880"/>
            <w:shd w:fill="F5EFEB"/>
            <w:tcMar>
              <w:top w:w="80" w:type="dxa"/>
              <w:bottom w:w="80" w:type="dxa"/>
              <w:left w:w="100" w:type="dxa"/>
              <w:right w:w="100" w:type="dxa"/>
            </w:tcMar>
          </w:tcPr>
          <w:p>
            <w:r>
              <w:rPr>
                <w:rFonts w:ascii="Arial" w:hAnsi="Arial"/>
                <w:b/>
                <w:color w:val="A83212"/>
                <w:sz w:val="17"/>
              </w:rPr>
              <w:t>演練測試情境</w:t>
            </w:r>
          </w:p>
        </w:tc>
        <w:tc>
          <w:tcPr>
            <w:tcW w:type="dxa" w:w="2592"/>
            <w:shd w:fill="F5EFEB"/>
            <w:tcMar>
              <w:top w:w="80" w:type="dxa"/>
              <w:bottom w:w="80" w:type="dxa"/>
              <w:left w:w="100" w:type="dxa"/>
              <w:right w:w="100" w:type="dxa"/>
            </w:tcMar>
          </w:tcPr>
          <w:p>
            <w:r>
              <w:rPr>
                <w:rFonts w:ascii="Arial" w:hAnsi="Arial"/>
                <w:b/>
                <w:color w:val="A83212"/>
                <w:sz w:val="17"/>
              </w:rPr>
              <w:t>復原目標要求 (Target SLA)</w:t>
            </w:r>
          </w:p>
        </w:tc>
        <w:tc>
          <w:tcPr>
            <w:tcW w:type="dxa" w:w="3168"/>
            <w:shd w:fill="F5EFEB"/>
            <w:tcMar>
              <w:top w:w="80" w:type="dxa"/>
              <w:bottom w:w="80" w:type="dxa"/>
              <w:left w:w="100" w:type="dxa"/>
              <w:right w:w="100" w:type="dxa"/>
            </w:tcMar>
          </w:tcPr>
          <w:p>
            <w:r>
              <w:rPr>
                <w:rFonts w:ascii="Arial" w:hAnsi="Arial"/>
                <w:b/>
                <w:color w:val="A83212"/>
                <w:sz w:val="17"/>
              </w:rPr>
              <w:t>實兵演練實測成果 (Actual Result)</w:t>
            </w:r>
          </w:p>
        </w:tc>
        <w:tc>
          <w:tcPr>
            <w:tcW w:type="dxa" w:w="1728"/>
            <w:shd w:fill="F5EFEB"/>
            <w:tcMar>
              <w:top w:w="80" w:type="dxa"/>
              <w:bottom w:w="80" w:type="dxa"/>
              <w:left w:w="100" w:type="dxa"/>
              <w:right w:w="100" w:type="dxa"/>
            </w:tcMar>
          </w:tcPr>
          <w:p>
            <w:r>
              <w:rPr>
                <w:rFonts w:ascii="Arial" w:hAnsi="Arial"/>
                <w:b/>
                <w:color w:val="A83212"/>
                <w:sz w:val="17"/>
              </w:rPr>
              <w:t>外部稽核合規評價</w:t>
            </w:r>
          </w:p>
        </w:tc>
      </w:tr>
      <w:tr>
        <w:tc>
          <w:tcPr>
            <w:tcW w:type="dxa" w:w="2880"/>
            <w:shd w:fill="FFFFFF"/>
            <w:tcMar>
              <w:top w:w="60" w:type="dxa"/>
              <w:bottom w:w="60" w:type="dxa"/>
              <w:left w:w="100" w:type="dxa"/>
              <w:right w:w="100" w:type="dxa"/>
            </w:tcMar>
          </w:tcPr>
          <w:p>
            <w:r>
              <w:rPr>
                <w:rFonts w:ascii="Arial" w:hAnsi="Arial"/>
                <w:color w:val="1C1917"/>
                <w:sz w:val="16"/>
              </w:rPr>
              <w:t>台北總部機房</w:t>
              <w:br/>
              <w:t>主要資料庫意外中斷</w:t>
            </w:r>
          </w:p>
        </w:tc>
        <w:tc>
          <w:tcPr>
            <w:tcW w:type="dxa" w:w="2592"/>
            <w:shd w:fill="FFFFFF"/>
            <w:tcMar>
              <w:top w:w="60" w:type="dxa"/>
              <w:bottom w:w="60" w:type="dxa"/>
              <w:left w:w="100" w:type="dxa"/>
              <w:right w:w="100" w:type="dxa"/>
            </w:tcMar>
          </w:tcPr>
          <w:p>
            <w:r>
              <w:rPr>
                <w:rFonts w:ascii="Arial" w:hAnsi="Arial"/>
                <w:color w:val="1C1917"/>
                <w:sz w:val="16"/>
              </w:rPr>
              <w:t>RPO &lt; 15 分鐘</w:t>
              <w:br/>
              <w:t>(資料遺失容忍極限)</w:t>
            </w:r>
          </w:p>
        </w:tc>
        <w:tc>
          <w:tcPr>
            <w:tcW w:type="dxa" w:w="3168"/>
            <w:shd w:fill="FFFFFF"/>
            <w:tcMar>
              <w:top w:w="60" w:type="dxa"/>
              <w:bottom w:w="60" w:type="dxa"/>
              <w:left w:w="100" w:type="dxa"/>
              <w:right w:w="100" w:type="dxa"/>
            </w:tcMar>
          </w:tcPr>
          <w:p>
            <w:r>
              <w:rPr>
                <w:rFonts w:ascii="Arial" w:hAnsi="Arial"/>
                <w:color w:val="1C1917"/>
                <w:sz w:val="16"/>
              </w:rPr>
              <w:t>實測 RPO = 2 分 14 秒</w:t>
              <w:br/>
              <w:t>(仰賴 AlwaysOn 同步複寫機制)</w:t>
            </w:r>
          </w:p>
        </w:tc>
        <w:tc>
          <w:tcPr>
            <w:tcW w:type="dxa" w:w="1728"/>
            <w:shd w:fill="FFFFFF"/>
            <w:tcMar>
              <w:top w:w="60" w:type="dxa"/>
              <w:bottom w:w="60" w:type="dxa"/>
              <w:left w:w="100" w:type="dxa"/>
              <w:right w:w="100" w:type="dxa"/>
            </w:tcMar>
          </w:tcPr>
          <w:p>
            <w:r>
              <w:rPr>
                <w:rFonts w:ascii="Arial" w:hAnsi="Arial"/>
                <w:color w:val="1C1917"/>
                <w:sz w:val="16"/>
              </w:rPr>
              <w:t>★ 遠優於國際標準</w:t>
              <w:br/>
              <w:t>評定為『卓越 (Exemplary)』</w:t>
            </w:r>
          </w:p>
        </w:tc>
      </w:tr>
      <w:tr>
        <w:tc>
          <w:tcPr>
            <w:tcW w:type="dxa" w:w="2880"/>
            <w:shd w:fill="FAFAF9"/>
            <w:tcMar>
              <w:top w:w="60" w:type="dxa"/>
              <w:bottom w:w="60" w:type="dxa"/>
              <w:left w:w="100" w:type="dxa"/>
              <w:right w:w="100" w:type="dxa"/>
            </w:tcMar>
          </w:tcPr>
          <w:p>
            <w:r>
              <w:rPr>
                <w:rFonts w:ascii="Arial" w:hAnsi="Arial"/>
                <w:color w:val="1C1917"/>
                <w:sz w:val="16"/>
              </w:rPr>
              <w:t>跨國湖倉管線</w:t>
              <w:br/>
              <w:t>全面切換異地備援節點</w:t>
            </w:r>
          </w:p>
        </w:tc>
        <w:tc>
          <w:tcPr>
            <w:tcW w:type="dxa" w:w="2592"/>
            <w:shd w:fill="FAFAF9"/>
            <w:tcMar>
              <w:top w:w="60" w:type="dxa"/>
              <w:bottom w:w="60" w:type="dxa"/>
              <w:left w:w="100" w:type="dxa"/>
              <w:right w:w="100" w:type="dxa"/>
            </w:tcMar>
          </w:tcPr>
          <w:p>
            <w:r>
              <w:rPr>
                <w:rFonts w:ascii="Arial" w:hAnsi="Arial"/>
                <w:color w:val="1C1917"/>
                <w:sz w:val="16"/>
              </w:rPr>
              <w:t>RTO &lt; 2 小時</w:t>
              <w:br/>
              <w:t>(系統重啟可服務極限)</w:t>
            </w:r>
          </w:p>
        </w:tc>
        <w:tc>
          <w:tcPr>
            <w:tcW w:type="dxa" w:w="3168"/>
            <w:shd w:fill="FAFAF9"/>
            <w:tcMar>
              <w:top w:w="60" w:type="dxa"/>
              <w:bottom w:w="60" w:type="dxa"/>
              <w:left w:w="100" w:type="dxa"/>
              <w:right w:w="100" w:type="dxa"/>
            </w:tcMar>
          </w:tcPr>
          <w:p>
            <w:r>
              <w:rPr>
                <w:rFonts w:ascii="Arial" w:hAnsi="Arial"/>
                <w:color w:val="1C1917"/>
                <w:sz w:val="16"/>
              </w:rPr>
              <w:t>實測 RTO = 48 分鐘</w:t>
              <w:br/>
              <w:t>(透過 IaC 腳本秒級重啟服務)</w:t>
            </w:r>
          </w:p>
        </w:tc>
        <w:tc>
          <w:tcPr>
            <w:tcW w:type="dxa" w:w="1728"/>
            <w:shd w:fill="FAFAF9"/>
            <w:tcMar>
              <w:top w:w="60" w:type="dxa"/>
              <w:bottom w:w="60" w:type="dxa"/>
              <w:left w:w="100" w:type="dxa"/>
              <w:right w:w="100" w:type="dxa"/>
            </w:tcMar>
          </w:tcPr>
          <w:p>
            <w:r>
              <w:rPr>
                <w:rFonts w:ascii="Arial" w:hAnsi="Arial"/>
                <w:color w:val="1C1917"/>
                <w:sz w:val="16"/>
              </w:rPr>
              <w:t>★ 順利達成 2 小時承諾</w:t>
              <w:br/>
              <w:t>符合 Tier-1 核心標準</w:t>
            </w:r>
          </w:p>
        </w:tc>
      </w:tr>
      <w:tr>
        <w:tc>
          <w:tcPr>
            <w:tcW w:type="dxa" w:w="2880"/>
            <w:shd w:fill="FFFFFF"/>
            <w:tcMar>
              <w:top w:w="60" w:type="dxa"/>
              <w:bottom w:w="60" w:type="dxa"/>
              <w:left w:w="100" w:type="dxa"/>
              <w:right w:w="100" w:type="dxa"/>
            </w:tcMar>
          </w:tcPr>
          <w:p>
            <w:r>
              <w:rPr>
                <w:rFonts w:ascii="Arial" w:hAnsi="Arial"/>
                <w:color w:val="1C1917"/>
                <w:sz w:val="16"/>
              </w:rPr>
              <w:t>海外廠海纜切斷 72 小時後</w:t>
              <w:br/>
              <w:t>重新連線批次補跑</w:t>
            </w:r>
          </w:p>
        </w:tc>
        <w:tc>
          <w:tcPr>
            <w:tcW w:type="dxa" w:w="2592"/>
            <w:shd w:fill="FFFFFF"/>
            <w:tcMar>
              <w:top w:w="60" w:type="dxa"/>
              <w:bottom w:w="60" w:type="dxa"/>
              <w:left w:w="100" w:type="dxa"/>
              <w:right w:w="100" w:type="dxa"/>
            </w:tcMar>
          </w:tcPr>
          <w:p>
            <w:r>
              <w:rPr>
                <w:rFonts w:ascii="Arial" w:hAnsi="Arial"/>
                <w:color w:val="1C1917"/>
                <w:sz w:val="16"/>
              </w:rPr>
              <w:t>數據 0 遺失</w:t>
              <w:br/>
              <w:t>無重複無衝突</w:t>
            </w:r>
          </w:p>
        </w:tc>
        <w:tc>
          <w:tcPr>
            <w:tcW w:type="dxa" w:w="3168"/>
            <w:shd w:fill="FFFFFF"/>
            <w:tcMar>
              <w:top w:w="60" w:type="dxa"/>
              <w:bottom w:w="60" w:type="dxa"/>
              <w:left w:w="100" w:type="dxa"/>
              <w:right w:w="100" w:type="dxa"/>
            </w:tcMar>
          </w:tcPr>
          <w:p>
            <w:r>
              <w:rPr>
                <w:rFonts w:ascii="Arial" w:hAnsi="Arial"/>
                <w:color w:val="1C1917"/>
                <w:sz w:val="16"/>
              </w:rPr>
              <w:t>實測上傳 18 萬筆 CDC 異動紀錄，</w:t>
              <w:br/>
              <w:t>雙向差分對帳引擎 100% 無差異過帳。</w:t>
            </w:r>
          </w:p>
        </w:tc>
        <w:tc>
          <w:tcPr>
            <w:tcW w:type="dxa" w:w="1728"/>
            <w:shd w:fill="FFFFFF"/>
            <w:tcMar>
              <w:top w:w="60" w:type="dxa"/>
              <w:bottom w:w="60" w:type="dxa"/>
              <w:left w:w="100" w:type="dxa"/>
              <w:right w:w="100" w:type="dxa"/>
            </w:tcMar>
          </w:tcPr>
          <w:p>
            <w:r>
              <w:rPr>
                <w:rFonts w:ascii="Arial" w:hAnsi="Arial"/>
                <w:color w:val="1C1917"/>
                <w:sz w:val="16"/>
              </w:rPr>
              <w:t>★ 驗證邊緣自治架構具備</w:t>
              <w:br/>
              <w:t>實質抗斷網生存能力！</w:t>
            </w:r>
          </w:p>
        </w:tc>
      </w:tr>
    </w:tbl>
    <w:p>
      <w:pPr>
        <w:spacing w:after="80"/>
      </w:pPr>
    </w:p>
    <w:p>
      <w:r>
        <w:br w:type="page"/>
      </w:r>
    </w:p>
    <w:p>
      <w:pPr>
        <w:spacing w:before="160" w:after="80"/>
      </w:pPr>
      <w:r>
        <w:rPr>
          <w:rFonts w:ascii="Arial" w:hAnsi="Arial"/>
          <w:b/>
          <w:color w:val="D97706"/>
          <w:sz w:val="22"/>
        </w:rPr>
        <w:t xml:space="preserve">【第六章：語意治理】 </w:t>
      </w:r>
      <w:r>
        <w:rPr>
          <w:rFonts w:ascii="Arial" w:hAnsi="Arial"/>
          <w:b/>
          <w:color w:val="A83212"/>
          <w:sz w:val="30"/>
        </w:rPr>
        <w:t>6.1 Gartner 2026 最新資料管理技術成熟度曲線權威解讀</w:t>
      </w:r>
    </w:p>
    <w:p>
      <w:pPr>
        <w:spacing w:before="0" w:after="200"/>
      </w:pPr>
      <w:r>
        <w:rPr>
          <w:rFonts w:ascii="Arial" w:hAnsi="Arial"/>
          <w:i/>
          <w:color w:val="78716C"/>
          <w:sz w:val="19"/>
        </w:rPr>
        <w:t>Gartner Hype Cycle for Data Management 2026 · Strategic Implications</w:t>
      </w:r>
    </w:p>
    <w:p>
      <w:pPr>
        <w:spacing w:before="0" w:after="120" w:line="276" w:lineRule="auto"/>
      </w:pPr>
      <w:r>
        <w:rPr>
          <w:rFonts w:ascii="Arial" w:hAnsi="Arial"/>
          <w:color w:val="1C1917"/>
          <w:sz w:val="19"/>
        </w:rPr>
        <w:t>國際權威 IT 調查機構 Gartner 於 2026 年最新發布之《資料管理技術成熟度曲線（Hype Cycle for Data Management, 2026）》（報告作者：Adam Ronthal）中，為全球企業在 AI 時代的資料架構發出了震撼性的指引。報告指出，隨著生成式 AI 與自主 AI Agent 的爆發，傳統僅偏重儲存與 ETL 的資料管理架構已徹底落伍。</w:t>
      </w:r>
    </w:p>
    <w:p>
      <w:pPr>
        <w:spacing w:before="0" w:after="120" w:line="276" w:lineRule="auto"/>
      </w:pPr>
      <w:r>
        <w:rPr>
          <w:rFonts w:ascii="Arial" w:hAnsi="Arial"/>
          <w:color w:val="1C1917"/>
          <w:sz w:val="19"/>
        </w:rPr>
        <w:t>今年新進榜與爬升的技術，高度收斂於三大核心主題：第一、**AI Agent 與代理式資料管理（Agentic Data Management）**；第二、**支援 AI Agent 的上下文層與語意（Context Layers &amp; Semantics）**；第三、**跨國資料主權與地緣政治策略（Data Sovereignty）**。這三大主題與信源全球推動蜂巢計畫的戰略方向完美契合。</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【國際頂級研調指引】</w:t>
              <w:br/>
            </w:r>
            <w:r>
              <w:rPr>
                <w:rFonts w:ascii="Arial" w:hAnsi="Arial"/>
                <w:color w:val="1C1917"/>
                <w:sz w:val="18"/>
              </w:rPr>
              <w:t>『在 AI Agent 時代，資料管理的核心已經不再是搬動資料，而是定義資料背後的商業語意與上下文。』—— Gartner 2026</w:t>
            </w:r>
          </w:p>
        </w:tc>
      </w:tr>
    </w:tbl>
    <w:p>
      <w:pPr>
        <w:spacing w:after="80"/>
      </w:pPr>
    </w:p>
    <w:p>
      <w:r>
        <w:br w:type="page"/>
      </w:r>
    </w:p>
    <w:p>
      <w:pPr>
        <w:spacing w:before="160" w:after="80"/>
      </w:pPr>
      <w:r>
        <w:rPr>
          <w:rFonts w:ascii="Arial" w:hAnsi="Arial"/>
          <w:b/>
          <w:color w:val="D97706"/>
          <w:sz w:val="22"/>
        </w:rPr>
        <w:t xml:space="preserve">【第六章：語意治理】 </w:t>
      </w:r>
      <w:r>
        <w:rPr>
          <w:rFonts w:ascii="Arial" w:hAnsi="Arial"/>
          <w:b/>
          <w:color w:val="A83212"/>
          <w:sz w:val="30"/>
        </w:rPr>
        <w:t>6.2 上下文層與語意在 AI 時代的決定性地位</w:t>
      </w:r>
    </w:p>
    <w:p>
      <w:pPr>
        <w:spacing w:before="0" w:after="200"/>
      </w:pPr>
      <w:r>
        <w:rPr>
          <w:rFonts w:ascii="Arial" w:hAnsi="Arial"/>
          <w:i/>
          <w:color w:val="78716C"/>
          <w:sz w:val="19"/>
        </w:rPr>
        <w:t>Context Layers &amp; Semantics · The Linchpin for Autonomous Agents</w:t>
      </w:r>
    </w:p>
    <w:p>
      <w:pPr>
        <w:spacing w:before="0" w:after="120" w:line="276" w:lineRule="auto"/>
      </w:pPr>
      <w:r>
        <w:rPr>
          <w:rFonts w:ascii="Arial" w:hAnsi="Arial"/>
          <w:color w:val="1C1917"/>
          <w:sz w:val="19"/>
        </w:rPr>
        <w:t>為什麼 Gartner 將『上下文層與語意』拉升至前所未有的戰略高度？因為大型語言模型（LLM）本質上只具備語言理解能力，它**完全不具備信源集團的成衣業務背景知識**。當使用者向 AI 提問：『請列出昨天越南廠表現最差的車縫線』時，若沒有語意層的輔助：</w:t>
      </w:r>
    </w:p>
    <w:p>
      <w:pPr>
        <w:pStyle w:val="ListBullet"/>
        <w:spacing w:before="0" w:after="60" w:line="269" w:lineRule="auto"/>
      </w:pPr>
      <w:r>
        <w:rPr>
          <w:rFonts w:ascii="Arial" w:hAnsi="Arial"/>
          <w:b/>
          <w:color w:val="1C1917"/>
          <w:sz w:val="18"/>
        </w:rPr>
        <w:t>商業指標語意歧義：</w:t>
      </w:r>
      <w:r>
        <w:rPr>
          <w:rFonts w:ascii="Arial" w:hAnsi="Arial"/>
          <w:color w:val="1C1917"/>
          <w:sz w:val="18"/>
        </w:rPr>
        <w:t>AI 不知道信源評估車縫線好壞的標準是『線平衡率（Line Balance Ratio）』，還是『品質返工率（Rework Ratio）』，還是『標準工時達成率（SAM Efficiency）』？</w:t>
      </w:r>
    </w:p>
    <w:p>
      <w:pPr>
        <w:pStyle w:val="ListBullet"/>
        <w:spacing w:before="0" w:after="60" w:line="269" w:lineRule="auto"/>
      </w:pPr>
      <w:r>
        <w:rPr>
          <w:rFonts w:ascii="Arial" w:hAnsi="Arial"/>
          <w:b/>
          <w:color w:val="1C1917"/>
          <w:sz w:val="18"/>
        </w:rPr>
        <w:t>產生嚴重的 AI 幻覺：</w:t>
      </w:r>
      <w:r>
        <w:rPr>
          <w:rFonts w:ascii="Arial" w:hAnsi="Arial"/>
          <w:color w:val="1C1917"/>
          <w:sz w:val="18"/>
        </w:rPr>
        <w:t>AI 往往自行猜測，甚至拿發料數量除以人數，生成荒謬可笑的虛假數字，引發各廠幹部對 AI 的極度不信任。</w:t>
      </w:r>
    </w:p>
    <w:p>
      <w:pPr>
        <w:pStyle w:val="ListBullet"/>
        <w:spacing w:before="0" w:after="60" w:line="269" w:lineRule="auto"/>
      </w:pPr>
      <w:r>
        <w:rPr>
          <w:rFonts w:ascii="Arial" w:hAnsi="Arial"/>
          <w:b/>
          <w:color w:val="1C1917"/>
          <w:sz w:val="18"/>
        </w:rPr>
        <w:t>充當官方語意翻譯官：</w:t>
      </w:r>
      <w:r>
        <w:rPr>
          <w:rFonts w:ascii="Arial" w:hAnsi="Arial"/>
          <w:color w:val="1C1917"/>
          <w:sz w:val="18"/>
        </w:rPr>
        <w:t>上下文層（Context Layer）的作用，正是充當『AI 大腦與企業資料庫之間的官方翻譯官』，將人類成衣業務規範封裝為 AI 聽得懂的元數據（Metadata）。</w:t>
      </w:r>
    </w:p>
    <w:p>
      <w:r>
        <w:br w:type="page"/>
      </w:r>
    </w:p>
    <w:p>
      <w:pPr>
        <w:spacing w:before="160" w:after="80"/>
      </w:pPr>
      <w:r>
        <w:rPr>
          <w:rFonts w:ascii="Arial" w:hAnsi="Arial"/>
          <w:b/>
          <w:color w:val="D97706"/>
          <w:sz w:val="22"/>
        </w:rPr>
        <w:t xml:space="preserve">【第六章：語意治理】 </w:t>
      </w:r>
      <w:r>
        <w:rPr>
          <w:rFonts w:ascii="Arial" w:hAnsi="Arial"/>
          <w:b/>
          <w:color w:val="A83212"/>
          <w:sz w:val="30"/>
        </w:rPr>
        <w:t>6.3 期望最高峰：上下文工程與語意豐富資料層深度剖析</w:t>
      </w:r>
    </w:p>
    <w:p>
      <w:pPr>
        <w:spacing w:before="0" w:after="200"/>
      </w:pPr>
      <w:r>
        <w:rPr>
          <w:rFonts w:ascii="Arial" w:hAnsi="Arial"/>
          <w:i/>
          <w:color w:val="78716C"/>
          <w:sz w:val="19"/>
        </w:rPr>
        <w:t>Peak of Inflated Expectations · Context Engineering &amp; Semantic Enrichment</w:t>
      </w:r>
    </w:p>
    <w:p>
      <w:pPr>
        <w:spacing w:before="0" w:after="120" w:line="276" w:lineRule="auto"/>
      </w:pPr>
      <w:r>
        <w:rPr>
          <w:rFonts w:ascii="Arial" w:hAnsi="Arial"/>
          <w:color w:val="1C1917"/>
          <w:sz w:val="19"/>
        </w:rPr>
        <w:t>在 Gartner 2026 成熟度曲線中，真正站上『期望最高峰（Peak of Inflated Expectations）』的關鍵技術只有兩項：**上下文工程（Context Engineering）** 與 **語意豐富的資料層（Semantically Enriched Data Layer）**。</w:t>
      </w:r>
    </w:p>
    <w:p>
      <w:pPr>
        <w:spacing w:before="0" w:after="120" w:line="276" w:lineRule="auto"/>
      </w:pPr>
      <w:r>
        <w:rPr>
          <w:rFonts w:ascii="Arial" w:hAnsi="Arial"/>
          <w:color w:val="1C1917"/>
          <w:sz w:val="19"/>
        </w:rPr>
        <w:t>Gartner 在報告原文中給予了極度嚴肅的警告：</w:t>
      </w:r>
    </w:p>
    <w:p>
      <w:pPr>
        <w:spacing w:before="0" w:after="200" w:line="276" w:lineRule="auto"/>
      </w:pPr>
      <w:r>
        <w:rPr>
          <w:rFonts w:ascii="Arial" w:hAnsi="Arial"/>
          <w:b/>
          <w:color w:val="1C1917"/>
          <w:sz w:val="19"/>
        </w:rPr>
        <w:t>Gartner 原文引述：</w:t>
      </w:r>
      <w:r>
        <w:rPr>
          <w:rFonts w:ascii="Arial" w:hAnsi="Arial"/>
          <w:color w:val="1C1917"/>
          <w:sz w:val="19"/>
        </w:rPr>
        <w:t>“Only context engineering and semantically enriched data layer are truly at the peak.</w:t>
        <w:br/>
        <w:t>Without a semantically enriched data layer, business users struggle in finding and interpreting data, while autonomous agents will remain brittle, untrustworthy and challenging to coordinate.”</w:t>
      </w:r>
    </w:p>
    <w:p>
      <w:pPr>
        <w:spacing w:before="0" w:after="120" w:line="276" w:lineRule="auto"/>
      </w:pPr>
      <w:r>
        <w:rPr>
          <w:rFonts w:ascii="Arial" w:hAnsi="Arial"/>
          <w:color w:val="1C1917"/>
          <w:sz w:val="19"/>
        </w:rPr>
        <w:t>中文摘譯精髓：『**如果沒有語意豐富的資料層，業務人員將難以找到並解讀資料；而自主運作的 AI Agent 也會變得脆弱（Brittle）、不可信（Untrustworthy），而且難以協調！**』這精準預言了信源未來在導入生管 AI Agent 時必須提前避開的大坑。</w:t>
      </w:r>
    </w:p>
    <w:p>
      <w:r>
        <w:br w:type="page"/>
      </w:r>
    </w:p>
    <w:p>
      <w:pPr>
        <w:spacing w:before="160" w:after="80"/>
      </w:pPr>
      <w:r>
        <w:rPr>
          <w:rFonts w:ascii="Arial" w:hAnsi="Arial"/>
          <w:b/>
          <w:color w:val="D97706"/>
          <w:sz w:val="22"/>
        </w:rPr>
        <w:t xml:space="preserve">【第六章：語意治理】 </w:t>
      </w:r>
      <w:r>
        <w:rPr>
          <w:rFonts w:ascii="Arial" w:hAnsi="Arial"/>
          <w:b/>
          <w:color w:val="A83212"/>
          <w:sz w:val="30"/>
        </w:rPr>
        <w:t>6.4 組合式語意層與開放標準 (OSI) 倡議</w:t>
      </w:r>
    </w:p>
    <w:p>
      <w:pPr>
        <w:spacing w:before="0" w:after="200"/>
      </w:pPr>
      <w:r>
        <w:rPr>
          <w:rFonts w:ascii="Arial" w:hAnsi="Arial"/>
          <w:i/>
          <w:color w:val="78716C"/>
          <w:sz w:val="19"/>
        </w:rPr>
        <w:t>Composite Semantic Layer · Embracing Open Semantic Interchange (OSI)</w:t>
      </w:r>
    </w:p>
    <w:p>
      <w:pPr>
        <w:spacing w:before="0" w:after="120" w:line="276" w:lineRule="auto"/>
      </w:pPr>
      <w:r>
        <w:rPr>
          <w:rFonts w:ascii="Arial" w:hAnsi="Arial"/>
          <w:color w:val="1C1917"/>
          <w:sz w:val="19"/>
        </w:rPr>
        <w:t>在技術成熟度曲線的『創新觸發期（Innovation Trigger）』，Gartner 今年隆重推出了評等為**變革性（Transformational）**的新星技術——**組合式語意層（Composite Semantic Layer）**。</w:t>
      </w:r>
    </w:p>
    <w:tbl>
      <w:tblPr>
        <w:tblW w:type="auto" w:w="0"/>
        <w:jc w:val="center"/>
        <w:tblLook w:firstColumn="1" w:firstRow="1" w:lastColumn="0" w:lastRow="0" w:noHBand="0" w:noVBand="1" w:val="04A0"/>
      </w:tblPr>
      <w:tblGrid>
        <w:gridCol w:w="2412"/>
        <w:gridCol w:w="2412"/>
        <w:gridCol w:w="2412"/>
        <w:gridCol w:w="2412"/>
      </w:tblGrid>
      <w:tr>
        <w:tc>
          <w:tcPr>
            <w:tcW w:type="dxa" w:w="2880"/>
            <w:shd w:fill="F5EFEB"/>
            <w:tcMar>
              <w:top w:w="80" w:type="dxa"/>
              <w:bottom w:w="80" w:type="dxa"/>
              <w:left w:w="100" w:type="dxa"/>
              <w:right w:w="100" w:type="dxa"/>
            </w:tcMar>
          </w:tcPr>
          <w:p>
            <w:r>
              <w:rPr>
                <w:rFonts w:ascii="Arial" w:hAnsi="Arial"/>
                <w:b/>
                <w:color w:val="A83212"/>
                <w:sz w:val="17"/>
              </w:rPr>
              <w:t>語意層發展路線</w:t>
            </w:r>
          </w:p>
        </w:tc>
        <w:tc>
          <w:tcPr>
            <w:tcW w:type="dxa" w:w="3168"/>
            <w:shd w:fill="F5EFEB"/>
            <w:tcMar>
              <w:top w:w="80" w:type="dxa"/>
              <w:bottom w:w="80" w:type="dxa"/>
              <w:left w:w="100" w:type="dxa"/>
              <w:right w:w="100" w:type="dxa"/>
            </w:tcMar>
          </w:tcPr>
          <w:p>
            <w:r>
              <w:rPr>
                <w:rFonts w:ascii="Arial" w:hAnsi="Arial"/>
                <w:b/>
                <w:color w:val="A83212"/>
                <w:sz w:val="17"/>
              </w:rPr>
              <w:t>技術特性與現實瓶頸</w:t>
            </w:r>
          </w:p>
        </w:tc>
        <w:tc>
          <w:tcPr>
            <w:tcW w:type="dxa" w:w="2592"/>
            <w:shd w:fill="F5EFEB"/>
            <w:tcMar>
              <w:top w:w="80" w:type="dxa"/>
              <w:bottom w:w="80" w:type="dxa"/>
              <w:left w:w="100" w:type="dxa"/>
              <w:right w:w="100" w:type="dxa"/>
            </w:tcMar>
          </w:tcPr>
          <w:p>
            <w:r>
              <w:rPr>
                <w:rFonts w:ascii="Arial" w:hAnsi="Arial"/>
                <w:b/>
                <w:color w:val="A83212"/>
                <w:sz w:val="17"/>
              </w:rPr>
              <w:t>Gartner 權威評估</w:t>
            </w:r>
          </w:p>
        </w:tc>
        <w:tc>
          <w:tcPr>
            <w:tcW w:type="dxa" w:w="2016"/>
            <w:shd w:fill="F5EFEB"/>
            <w:tcMar>
              <w:top w:w="80" w:type="dxa"/>
              <w:bottom w:w="80" w:type="dxa"/>
              <w:left w:w="100" w:type="dxa"/>
              <w:right w:w="100" w:type="dxa"/>
            </w:tcMar>
          </w:tcPr>
          <w:p>
            <w:r>
              <w:rPr>
                <w:rFonts w:ascii="Arial" w:hAnsi="Arial"/>
                <w:b/>
                <w:color w:val="A83212"/>
                <w:sz w:val="17"/>
              </w:rPr>
              <w:t>蜂巢計畫之因應戰略</w:t>
            </w:r>
          </w:p>
        </w:tc>
      </w:tr>
      <w:tr>
        <w:tc>
          <w:tcPr>
            <w:tcW w:type="dxa" w:w="2880"/>
            <w:shd w:fill="FFFFFF"/>
            <w:tcMar>
              <w:top w:w="60" w:type="dxa"/>
              <w:bottom w:w="60" w:type="dxa"/>
              <w:left w:w="100" w:type="dxa"/>
              <w:right w:w="100" w:type="dxa"/>
            </w:tcMar>
          </w:tcPr>
          <w:p>
            <w:r>
              <w:rPr>
                <w:rFonts w:ascii="Arial" w:hAnsi="Arial"/>
                <w:color w:val="1C1917"/>
                <w:sz w:val="16"/>
              </w:rPr>
              <w:t>傳統單一萬能語意層</w:t>
              <w:br/>
              <w:t>(Universal Semantic Layer)</w:t>
            </w:r>
          </w:p>
        </w:tc>
        <w:tc>
          <w:tcPr>
            <w:tcW w:type="dxa" w:w="3168"/>
            <w:shd w:fill="FFFFFF"/>
            <w:tcMar>
              <w:top w:w="60" w:type="dxa"/>
              <w:bottom w:w="60" w:type="dxa"/>
              <w:left w:w="100" w:type="dxa"/>
              <w:right w:w="100" w:type="dxa"/>
            </w:tcMar>
          </w:tcPr>
          <w:p>
            <w:r>
              <w:rPr>
                <w:rFonts w:ascii="Arial" w:hAnsi="Arial"/>
                <w:color w:val="1C1917"/>
                <w:sz w:val="16"/>
              </w:rPr>
              <w:t>試圖強迫全公司所有軟體</w:t>
              <w:br/>
              <w:t>只使用某一家原廠的語意工具</w:t>
            </w:r>
          </w:p>
        </w:tc>
        <w:tc>
          <w:tcPr>
            <w:tcW w:type="dxa" w:w="2592"/>
            <w:shd w:fill="FFFFFF"/>
            <w:tcMar>
              <w:top w:w="60" w:type="dxa"/>
              <w:bottom w:w="60" w:type="dxa"/>
              <w:left w:w="100" w:type="dxa"/>
              <w:right w:w="100" w:type="dxa"/>
            </w:tcMar>
          </w:tcPr>
          <w:p>
            <w:r>
              <w:rPr>
                <w:rFonts w:ascii="Arial" w:hAnsi="Arial"/>
                <w:color w:val="1C1917"/>
                <w:sz w:val="16"/>
              </w:rPr>
              <w:t>受限於微軟、SAP、Salesforce 等</w:t>
              <w:br/>
              <w:t>原廠封閉生態壁壘，【現實難以實現】</w:t>
            </w:r>
          </w:p>
        </w:tc>
        <w:tc>
          <w:tcPr>
            <w:tcW w:type="dxa" w:w="2016"/>
            <w:shd w:fill="FFFFFF"/>
            <w:tcMar>
              <w:top w:w="60" w:type="dxa"/>
              <w:bottom w:w="60" w:type="dxa"/>
              <w:left w:w="100" w:type="dxa"/>
              <w:right w:w="100" w:type="dxa"/>
            </w:tcMar>
          </w:tcPr>
          <w:p>
            <w:r>
              <w:rPr>
                <w:rFonts w:ascii="Arial" w:hAnsi="Arial"/>
                <w:color w:val="1C1917"/>
                <w:sz w:val="16"/>
              </w:rPr>
              <w:t>摒棄單一原廠綁定迷思，不強求一套工具包打天下。</w:t>
            </w:r>
          </w:p>
        </w:tc>
      </w:tr>
      <w:tr>
        <w:tc>
          <w:tcPr>
            <w:tcW w:type="dxa" w:w="2880"/>
            <w:shd w:fill="FAFAF9"/>
            <w:tcMar>
              <w:top w:w="60" w:type="dxa"/>
              <w:bottom w:w="60" w:type="dxa"/>
              <w:left w:w="100" w:type="dxa"/>
              <w:right w:w="100" w:type="dxa"/>
            </w:tcMar>
          </w:tcPr>
          <w:p>
            <w:r>
              <w:rPr>
                <w:rFonts w:ascii="Arial" w:hAnsi="Arial"/>
                <w:color w:val="1C1917"/>
                <w:sz w:val="16"/>
              </w:rPr>
              <w:t>新世代組合式語意層</w:t>
              <w:br/>
              <w:t>(Composite Semantic Layer)</w:t>
            </w:r>
          </w:p>
        </w:tc>
        <w:tc>
          <w:tcPr>
            <w:tcW w:type="dxa" w:w="3168"/>
            <w:shd w:fill="FAFAF9"/>
            <w:tcMar>
              <w:top w:w="60" w:type="dxa"/>
              <w:bottom w:w="60" w:type="dxa"/>
              <w:left w:w="100" w:type="dxa"/>
              <w:right w:w="100" w:type="dxa"/>
            </w:tcMar>
          </w:tcPr>
          <w:p>
            <w:r>
              <w:rPr>
                <w:rFonts w:ascii="Arial" w:hAnsi="Arial"/>
                <w:color w:val="1C1917"/>
                <w:sz w:val="16"/>
              </w:rPr>
              <w:t>讓不同系統各自的語意層</w:t>
              <w:br/>
              <w:t>透過統一協議進行協調運作</w:t>
            </w:r>
          </w:p>
        </w:tc>
        <w:tc>
          <w:tcPr>
            <w:tcW w:type="dxa" w:w="2592"/>
            <w:shd w:fill="FAFAF9"/>
            <w:tcMar>
              <w:top w:w="60" w:type="dxa"/>
              <w:bottom w:w="60" w:type="dxa"/>
              <w:left w:w="100" w:type="dxa"/>
              <w:right w:w="100" w:type="dxa"/>
            </w:tcMar>
          </w:tcPr>
          <w:p>
            <w:r>
              <w:rPr>
                <w:rFonts w:ascii="Arial" w:hAnsi="Arial"/>
                <w:color w:val="1C1917"/>
                <w:sz w:val="16"/>
              </w:rPr>
              <w:t>★ 評為【變革性 (Transformational)】</w:t>
              <w:br/>
              <w:t>打破各系統高牆的最佳務實途徑</w:t>
            </w:r>
          </w:p>
        </w:tc>
        <w:tc>
          <w:tcPr>
            <w:tcW w:type="dxa" w:w="2016"/>
            <w:shd w:fill="FAFAF9"/>
            <w:tcMar>
              <w:top w:w="60" w:type="dxa"/>
              <w:bottom w:w="60" w:type="dxa"/>
              <w:left w:w="100" w:type="dxa"/>
              <w:right w:w="100" w:type="dxa"/>
            </w:tcMar>
          </w:tcPr>
          <w:p>
            <w:r>
              <w:rPr>
                <w:rFonts w:ascii="Arial" w:hAnsi="Arial"/>
                <w:color w:val="1C1917"/>
                <w:sz w:val="16"/>
              </w:rPr>
              <w:t>以微軟 Power BI / Fabric 為核心，對外橋接 D365 與外部 AI。</w:t>
            </w:r>
          </w:p>
        </w:tc>
      </w:tr>
      <w:tr>
        <w:tc>
          <w:tcPr>
            <w:tcW w:type="dxa" w:w="2880"/>
            <w:shd w:fill="FFFFFF"/>
            <w:tcMar>
              <w:top w:w="60" w:type="dxa"/>
              <w:bottom w:w="60" w:type="dxa"/>
              <w:left w:w="100" w:type="dxa"/>
              <w:right w:w="100" w:type="dxa"/>
            </w:tcMar>
          </w:tcPr>
          <w:p>
            <w:r>
              <w:rPr>
                <w:rFonts w:ascii="Arial" w:hAnsi="Arial"/>
                <w:color w:val="1C1917"/>
                <w:sz w:val="16"/>
              </w:rPr>
              <w:t>開放語意標準倡議</w:t>
              <w:br/>
              <w:t>(Open Semantic Interchange, OSI)</w:t>
            </w:r>
          </w:p>
        </w:tc>
        <w:tc>
          <w:tcPr>
            <w:tcW w:type="dxa" w:w="3168"/>
            <w:shd w:fill="FFFFFF"/>
            <w:tcMar>
              <w:top w:w="60" w:type="dxa"/>
              <w:bottom w:w="60" w:type="dxa"/>
              <w:left w:w="100" w:type="dxa"/>
              <w:right w:w="100" w:type="dxa"/>
            </w:tcMar>
          </w:tcPr>
          <w:p>
            <w:r>
              <w:rPr>
                <w:rFonts w:ascii="Arial" w:hAnsi="Arial"/>
                <w:color w:val="1C1917"/>
                <w:sz w:val="16"/>
              </w:rPr>
              <w:t>倡議開源、中立的語意描述協議，</w:t>
              <w:br/>
              <w:t>如同 OpenAPI 之於 REST API</w:t>
            </w:r>
          </w:p>
        </w:tc>
        <w:tc>
          <w:tcPr>
            <w:tcW w:type="dxa" w:w="2592"/>
            <w:shd w:fill="FFFFFF"/>
            <w:tcMar>
              <w:top w:w="60" w:type="dxa"/>
              <w:bottom w:w="60" w:type="dxa"/>
              <w:left w:w="100" w:type="dxa"/>
              <w:right w:w="100" w:type="dxa"/>
            </w:tcMar>
          </w:tcPr>
          <w:p>
            <w:r>
              <w:rPr>
                <w:rFonts w:ascii="Arial" w:hAnsi="Arial"/>
                <w:color w:val="1C1917"/>
                <w:sz w:val="16"/>
              </w:rPr>
              <w:t>Gartner 強烈建議企業提早規劃採用，</w:t>
              <w:br/>
              <w:t>防止被特定數據中台原廠綁死</w:t>
            </w:r>
          </w:p>
        </w:tc>
        <w:tc>
          <w:tcPr>
            <w:tcW w:type="dxa" w:w="2016"/>
            <w:shd w:fill="FFFFFF"/>
            <w:tcMar>
              <w:top w:w="60" w:type="dxa"/>
              <w:bottom w:w="60" w:type="dxa"/>
              <w:left w:w="100" w:type="dxa"/>
              <w:right w:w="100" w:type="dxa"/>
            </w:tcMar>
          </w:tcPr>
          <w:p>
            <w:r>
              <w:rPr>
                <w:rFonts w:ascii="Arial" w:hAnsi="Arial"/>
                <w:color w:val="1C1917"/>
                <w:sz w:val="16"/>
              </w:rPr>
              <w:t>信源指標公式全面採開放格式定義，保障長期架構自主權。</w:t>
            </w:r>
          </w:p>
        </w:tc>
      </w:tr>
    </w:tbl>
    <w:p>
      <w:pPr>
        <w:spacing w:after="80"/>
      </w:pPr>
    </w:p>
    <w:p>
      <w:r>
        <w:br w:type="page"/>
      </w:r>
    </w:p>
    <w:p>
      <w:pPr>
        <w:spacing w:before="160" w:after="80"/>
      </w:pPr>
      <w:r>
        <w:rPr>
          <w:rFonts w:ascii="Arial" w:hAnsi="Arial"/>
          <w:b/>
          <w:color w:val="D97706"/>
          <w:sz w:val="22"/>
        </w:rPr>
        <w:t xml:space="preserve">【第六章：語意治理】 </w:t>
      </w:r>
      <w:r>
        <w:rPr>
          <w:rFonts w:ascii="Arial" w:hAnsi="Arial"/>
          <w:b/>
          <w:color w:val="A83212"/>
          <w:sz w:val="30"/>
        </w:rPr>
        <w:t>6.5 Gartner 給 CIO 的 3 大靈魂拷問深度解析與信源防禦策略</w:t>
      </w:r>
    </w:p>
    <w:p>
      <w:pPr>
        <w:spacing w:before="0" w:after="200"/>
      </w:pPr>
      <w:r>
        <w:rPr>
          <w:rFonts w:ascii="Arial" w:hAnsi="Arial"/>
          <w:i/>
          <w:color w:val="78716C"/>
          <w:sz w:val="19"/>
        </w:rPr>
        <w:t>The 3 Trustworthy AI Inquiries for CIOs &amp; RSI Defenses</w:t>
      </w:r>
    </w:p>
    <w:p>
      <w:pPr>
        <w:spacing w:before="0" w:after="120" w:line="276" w:lineRule="auto"/>
      </w:pPr>
      <w:r>
        <w:rPr>
          <w:rFonts w:ascii="Arial" w:hAnsi="Arial"/>
          <w:color w:val="1C1917"/>
          <w:sz w:val="19"/>
        </w:rPr>
        <w:t>Gartner 建議全球 CIO，在讓 AI Agent 擴大推廣至全公司之前，必須先對內部架構進行『三大靈魂拷問』。顧問團隊在第一階段帶領信源逐項自我體檢並給出了完美答卷：</w:t>
      </w:r>
    </w:p>
    <w:tbl>
      <w:tblPr>
        <w:tblW w:type="auto" w:w="0"/>
        <w:jc w:val="center"/>
        <w:tblLook w:firstColumn="1" w:firstRow="1" w:lastColumn="0" w:lastRow="0" w:noHBand="0" w:noVBand="1" w:val="04A0"/>
      </w:tblPr>
      <w:tblGrid>
        <w:gridCol w:w="3216"/>
        <w:gridCol w:w="3216"/>
        <w:gridCol w:w="3216"/>
      </w:tblGrid>
      <w:tr>
        <w:tc>
          <w:tcPr>
            <w:tcW w:type="dxa" w:w="2880"/>
            <w:shd w:fill="F5EFEB"/>
            <w:tcMar>
              <w:top w:w="80" w:type="dxa"/>
              <w:bottom w:w="80" w:type="dxa"/>
              <w:left w:w="100" w:type="dxa"/>
              <w:right w:w="100" w:type="dxa"/>
            </w:tcMar>
          </w:tcPr>
          <w:p>
            <w:r>
              <w:rPr>
                <w:rFonts w:ascii="Arial" w:hAnsi="Arial"/>
                <w:b/>
                <w:color w:val="A83212"/>
                <w:sz w:val="17"/>
              </w:rPr>
              <w:t>Gartner 給 CIO 之提問</w:t>
            </w:r>
          </w:p>
        </w:tc>
        <w:tc>
          <w:tcPr>
            <w:tcW w:type="dxa" w:w="3168"/>
            <w:shd w:fill="F5EFEB"/>
            <w:tcMar>
              <w:top w:w="80" w:type="dxa"/>
              <w:bottom w:w="80" w:type="dxa"/>
              <w:left w:w="100" w:type="dxa"/>
              <w:right w:w="100" w:type="dxa"/>
            </w:tcMar>
          </w:tcPr>
          <w:p>
            <w:r>
              <w:rPr>
                <w:rFonts w:ascii="Arial" w:hAnsi="Arial"/>
                <w:b/>
                <w:color w:val="A83212"/>
                <w:sz w:val="17"/>
              </w:rPr>
              <w:t>未治理之企業痛點與風險</w:t>
            </w:r>
          </w:p>
        </w:tc>
        <w:tc>
          <w:tcPr>
            <w:tcW w:type="dxa" w:w="4608"/>
            <w:shd w:fill="F5EFEB"/>
            <w:tcMar>
              <w:top w:w="80" w:type="dxa"/>
              <w:bottom w:w="80" w:type="dxa"/>
              <w:left w:w="100" w:type="dxa"/>
              <w:right w:w="100" w:type="dxa"/>
            </w:tcMar>
          </w:tcPr>
          <w:p>
            <w:r>
              <w:rPr>
                <w:rFonts w:ascii="Arial" w:hAnsi="Arial"/>
                <w:b/>
                <w:color w:val="A83212"/>
                <w:sz w:val="17"/>
              </w:rPr>
              <w:t>信源全球 (RSI) 第一階段具體防禦對策</w:t>
            </w:r>
          </w:p>
        </w:tc>
      </w:tr>
      <w:tr>
        <w:tc>
          <w:tcPr>
            <w:tcW w:type="dxa" w:w="2880"/>
            <w:shd w:fill="FFFFFF"/>
            <w:tcMar>
              <w:top w:w="60" w:type="dxa"/>
              <w:bottom w:w="60" w:type="dxa"/>
              <w:left w:w="100" w:type="dxa"/>
              <w:right w:w="100" w:type="dxa"/>
            </w:tcMar>
          </w:tcPr>
          <w:p>
            <w:r>
              <w:rPr>
                <w:rFonts w:ascii="Arial" w:hAnsi="Arial"/>
                <w:color w:val="1C1917"/>
                <w:sz w:val="16"/>
              </w:rPr>
              <w:t>拷問一：</w:t>
              <w:br/>
              <w:t>同一個指標，AI 和管理報表</w:t>
              <w:br/>
              <w:t>用的是同一份定義嗎？</w:t>
            </w:r>
          </w:p>
        </w:tc>
        <w:tc>
          <w:tcPr>
            <w:tcW w:type="dxa" w:w="3168"/>
            <w:shd w:fill="FFFFFF"/>
            <w:tcMar>
              <w:top w:w="60" w:type="dxa"/>
              <w:bottom w:w="60" w:type="dxa"/>
              <w:left w:w="100" w:type="dxa"/>
              <w:right w:w="100" w:type="dxa"/>
            </w:tcMar>
          </w:tcPr>
          <w:p>
            <w:r>
              <w:rPr>
                <w:rFonts w:ascii="Arial" w:hAnsi="Arial"/>
                <w:color w:val="1C1917"/>
                <w:sz w:val="16"/>
              </w:rPr>
              <w:t>AI 算的跟報表不同，業務部門天天在晨會上對帳吵架，決策癱瘓。</w:t>
            </w:r>
          </w:p>
        </w:tc>
        <w:tc>
          <w:tcPr>
            <w:tcW w:type="dxa" w:w="4608"/>
            <w:shd w:fill="FFFFFF"/>
            <w:tcMar>
              <w:top w:w="60" w:type="dxa"/>
              <w:bottom w:w="60" w:type="dxa"/>
              <w:left w:w="100" w:type="dxa"/>
              <w:right w:w="100" w:type="dxa"/>
            </w:tcMar>
          </w:tcPr>
          <w:p>
            <w:r>
              <w:rPr>
                <w:rFonts w:ascii="Arial" w:hAnsi="Arial"/>
                <w:color w:val="1C1917"/>
                <w:sz w:val="16"/>
              </w:rPr>
              <w:t>★ 落實『雙層語意層』：生管 AI Agent 與聯銓 Smart eVision 晨會看板，強制調用同一個 Semantic Model 計算公式！</w:t>
            </w:r>
          </w:p>
        </w:tc>
      </w:tr>
      <w:tr>
        <w:tc>
          <w:tcPr>
            <w:tcW w:type="dxa" w:w="2880"/>
            <w:shd w:fill="FAFAF9"/>
            <w:tcMar>
              <w:top w:w="60" w:type="dxa"/>
              <w:bottom w:w="60" w:type="dxa"/>
              <w:left w:w="100" w:type="dxa"/>
              <w:right w:w="100" w:type="dxa"/>
            </w:tcMar>
          </w:tcPr>
          <w:p>
            <w:r>
              <w:rPr>
                <w:rFonts w:ascii="Arial" w:hAnsi="Arial"/>
                <w:color w:val="1C1917"/>
                <w:sz w:val="16"/>
              </w:rPr>
              <w:t>拷問二：</w:t>
              <w:br/>
              <w:t>權限是在源頭統一控管，</w:t>
              <w:br/>
              <w:t>還是散在各個工具？</w:t>
            </w:r>
          </w:p>
        </w:tc>
        <w:tc>
          <w:tcPr>
            <w:tcW w:type="dxa" w:w="3168"/>
            <w:shd w:fill="FAFAF9"/>
            <w:tcMar>
              <w:top w:w="60" w:type="dxa"/>
              <w:bottom w:w="60" w:type="dxa"/>
              <w:left w:w="100" w:type="dxa"/>
              <w:right w:w="100" w:type="dxa"/>
            </w:tcMar>
          </w:tcPr>
          <w:p>
            <w:r>
              <w:rPr>
                <w:rFonts w:ascii="Arial" w:hAnsi="Arial"/>
                <w:color w:val="1C1917"/>
                <w:sz w:val="16"/>
              </w:rPr>
              <w:t>權限各自為政，AI 跨系統抓資料時意外洩漏客戶款式圖或財務底牌。</w:t>
            </w:r>
          </w:p>
        </w:tc>
        <w:tc>
          <w:tcPr>
            <w:tcW w:type="dxa" w:w="4608"/>
            <w:shd w:fill="FAFAF9"/>
            <w:tcMar>
              <w:top w:w="60" w:type="dxa"/>
              <w:bottom w:w="60" w:type="dxa"/>
              <w:left w:w="100" w:type="dxa"/>
              <w:right w:w="100" w:type="dxa"/>
            </w:tcMar>
          </w:tcPr>
          <w:p>
            <w:r>
              <w:rPr>
                <w:rFonts w:ascii="Arial" w:hAnsi="Arial"/>
                <w:color w:val="1C1917"/>
                <w:sz w:val="16"/>
              </w:rPr>
              <w:t>★ 權限源頭管控：在企業語意層實施 RLS/CLS 行列級安全，生管 Agent 抓資料時嚴格依使用者職等自動遮蔽敏感欄位。</w:t>
            </w:r>
          </w:p>
        </w:tc>
      </w:tr>
      <w:tr>
        <w:tc>
          <w:tcPr>
            <w:tcW w:type="dxa" w:w="2880"/>
            <w:shd w:fill="FFFFFF"/>
            <w:tcMar>
              <w:top w:w="60" w:type="dxa"/>
              <w:bottom w:w="60" w:type="dxa"/>
              <w:left w:w="100" w:type="dxa"/>
              <w:right w:w="100" w:type="dxa"/>
            </w:tcMar>
          </w:tcPr>
          <w:p>
            <w:r>
              <w:rPr>
                <w:rFonts w:ascii="Arial" w:hAnsi="Arial"/>
                <w:color w:val="1C1917"/>
                <w:sz w:val="16"/>
              </w:rPr>
              <w:t>拷問三：</w:t>
              <w:br/>
              <w:t>AI 給的每個答案，</w:t>
              <w:br/>
              <w:t>查得到資料來源嗎？</w:t>
            </w:r>
          </w:p>
        </w:tc>
        <w:tc>
          <w:tcPr>
            <w:tcW w:type="dxa" w:w="3168"/>
            <w:shd w:fill="FFFFFF"/>
            <w:tcMar>
              <w:top w:w="60" w:type="dxa"/>
              <w:bottom w:w="60" w:type="dxa"/>
              <w:left w:w="100" w:type="dxa"/>
              <w:right w:w="100" w:type="dxa"/>
            </w:tcMar>
          </w:tcPr>
          <w:p>
            <w:r>
              <w:rPr>
                <w:rFonts w:ascii="Arial" w:hAnsi="Arial"/>
                <w:color w:val="1C1917"/>
                <w:sz w:val="16"/>
              </w:rPr>
              <w:t>AI 產生幻覺給出錯誤建議，現場主管無法溯源，出事無人負責。</w:t>
            </w:r>
          </w:p>
        </w:tc>
        <w:tc>
          <w:tcPr>
            <w:tcW w:type="dxa" w:w="4608"/>
            <w:shd w:fill="FFFFFF"/>
            <w:tcMar>
              <w:top w:w="60" w:type="dxa"/>
              <w:bottom w:w="60" w:type="dxa"/>
              <w:left w:w="100" w:type="dxa"/>
              <w:right w:w="100" w:type="dxa"/>
            </w:tcMar>
          </w:tcPr>
          <w:p>
            <w:r>
              <w:rPr>
                <w:rFonts w:ascii="Arial" w:hAnsi="Arial"/>
                <w:color w:val="1C1917"/>
                <w:sz w:val="16"/>
              </w:rPr>
              <w:t>★ 全鏈路資料血緣 (Lineage)：AI 產出之每一項排產或款式比對建議，強制帶有工單號碼、資料庫時間戳與引用引用來源。</w:t>
            </w:r>
          </w:p>
        </w:tc>
      </w:tr>
    </w:tbl>
    <w:p>
      <w:pPr>
        <w:spacing w:after="80"/>
      </w:pPr>
    </w:p>
    <w:p>
      <w:r>
        <w:br w:type="page"/>
      </w:r>
    </w:p>
    <w:p>
      <w:pPr>
        <w:spacing w:before="160" w:after="80"/>
      </w:pPr>
      <w:r>
        <w:rPr>
          <w:rFonts w:ascii="Arial" w:hAnsi="Arial"/>
          <w:b/>
          <w:color w:val="D97706"/>
          <w:sz w:val="22"/>
        </w:rPr>
        <w:t xml:space="preserve">【第六章：語意治理】 </w:t>
      </w:r>
      <w:r>
        <w:rPr>
          <w:rFonts w:ascii="Arial" w:hAnsi="Arial"/>
          <w:b/>
          <w:color w:val="A83212"/>
          <w:sz w:val="30"/>
        </w:rPr>
        <w:t>6.6 不搬資料、不重構架構：信源雙層語意層實體拓撲</w:t>
      </w:r>
    </w:p>
    <w:p>
      <w:pPr>
        <w:spacing w:before="0" w:after="200"/>
      </w:pPr>
      <w:r>
        <w:rPr>
          <w:rFonts w:ascii="Arial" w:hAnsi="Arial"/>
          <w:i/>
          <w:color w:val="78716C"/>
          <w:sz w:val="19"/>
        </w:rPr>
        <w:t>Two-Tier Semantic Layer Topology · In-Place Zero-Copy Architecture</w:t>
      </w:r>
    </w:p>
    <w:p>
      <w:pPr>
        <w:spacing w:before="0" w:after="120" w:line="276" w:lineRule="auto"/>
      </w:pPr>
      <w:r>
        <w:rPr>
          <w:rFonts w:ascii="Arial" w:hAnsi="Arial"/>
          <w:color w:val="1C1917"/>
          <w:sz w:val="19"/>
        </w:rPr>
        <w:t>參考 Gartner 與大江生醫實踐，顧問團隊為信源量身打造了**『不搬資料、不重構架構的雙層語意層（Two-Tier Semantic Layer）』**拓撲體系：</w:t>
      </w:r>
    </w:p>
    <w:p>
      <w:pPr>
        <w:pStyle w:val="ListBullet"/>
        <w:spacing w:before="0" w:after="60" w:line="269" w:lineRule="auto"/>
      </w:pPr>
      <w:r>
        <w:rPr>
          <w:rFonts w:ascii="Arial" w:hAnsi="Arial"/>
          <w:b/>
          <w:color w:val="1C1917"/>
          <w:sz w:val="18"/>
        </w:rPr>
        <w:t>Tier 1 · 業務級語意層 (Business Semantics &amp; AI Agents)：</w:t>
      </w:r>
      <w:r>
        <w:rPr>
          <w:rFonts w:ascii="Arial" w:hAnsi="Arial"/>
          <w:color w:val="1C1917"/>
          <w:sz w:val="18"/>
        </w:rPr>
        <w:t>位於架構頂部，直接面向業務人員與 AI 消費端。包含：工廠生管 AI Agent、業務報價 Agent、各廠長清晨 06:00 晨會看板（聯銓 Smart eVision）、以及集團跨國戰情室（Power BI）。</w:t>
      </w:r>
    </w:p>
    <w:p>
      <w:pPr>
        <w:pStyle w:val="ListBullet"/>
        <w:spacing w:before="0" w:after="60" w:line="269" w:lineRule="auto"/>
      </w:pPr>
      <w:r>
        <w:rPr>
          <w:rFonts w:ascii="Arial" w:hAnsi="Arial"/>
          <w:b/>
          <w:color w:val="1C1917"/>
          <w:sz w:val="18"/>
        </w:rPr>
        <w:t>Tier 2 · 企業級語意層 (Enterprise Semantic Foundation)：</w:t>
      </w:r>
      <w:r>
        <w:rPr>
          <w:rFonts w:ascii="Arial" w:hAnsi="Arial"/>
          <w:color w:val="1C1917"/>
          <w:sz w:val="18"/>
        </w:rPr>
        <w:t>位於中台樞紐，基於微軟 Power BI Semantic Models 與 Azure Fabric OneLake 建置。承擔四大核心治理任務：統一商業指標計算規則、源頭集中權限隔離、全鏈路資料血緣追溯、以及就地虛擬化查詢（DirectLake），絕不盲目將海外廠資料庫搬遷複製！</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【語意架構創新價值】</w:t>
              <w:br/>
            </w:r>
            <w:r>
              <w:rPr>
                <w:rFonts w:ascii="Arial" w:hAnsi="Arial"/>
                <w:color w:val="1C1917"/>
                <w:sz w:val="18"/>
              </w:rPr>
              <w:t>雙層語意層的精髓在於『指標同源、邏輯集中、資料就地』。它讓信源在完全不更動現有 ERP 與 MES 底層的前提下，獲得了支撐企業級 AI Agent 的能力！</w:t>
            </w:r>
          </w:p>
        </w:tc>
      </w:tr>
    </w:tbl>
    <w:p>
      <w:pPr>
        <w:spacing w:after="80"/>
      </w:pPr>
    </w:p>
    <w:p>
      <w:r>
        <w:br w:type="page"/>
      </w:r>
    </w:p>
    <w:p>
      <w:pPr>
        <w:spacing w:before="160" w:after="80"/>
      </w:pPr>
      <w:r>
        <w:rPr>
          <w:rFonts w:ascii="Arial" w:hAnsi="Arial"/>
          <w:b/>
          <w:color w:val="D97706"/>
          <w:sz w:val="22"/>
        </w:rPr>
        <w:t xml:space="preserve">【第六章：語意治理】 </w:t>
      </w:r>
      <w:r>
        <w:rPr>
          <w:rFonts w:ascii="Arial" w:hAnsi="Arial"/>
          <w:b/>
          <w:color w:val="A83212"/>
          <w:sz w:val="30"/>
        </w:rPr>
        <w:t>6.7 企業級語意層：源頭權限、血緣追溯與 DirectLake 虛擬化</w:t>
      </w:r>
    </w:p>
    <w:p>
      <w:pPr>
        <w:spacing w:before="0" w:after="200"/>
      </w:pPr>
      <w:r>
        <w:rPr>
          <w:rFonts w:ascii="Arial" w:hAnsi="Arial"/>
          <w:i/>
          <w:color w:val="78716C"/>
          <w:sz w:val="19"/>
        </w:rPr>
        <w:t>Enterprise Tier Deep Dive · DirectLake Virtualization &amp; ABAC Security</w:t>
      </w:r>
    </w:p>
    <w:p>
      <w:pPr>
        <w:spacing w:before="0" w:after="120" w:line="276" w:lineRule="auto"/>
      </w:pPr>
      <w:r>
        <w:rPr>
          <w:rFonts w:ascii="Arial" w:hAnsi="Arial"/>
          <w:color w:val="1C1917"/>
          <w:sz w:val="19"/>
        </w:rPr>
        <w:t>深入解析企業級語意層（Tier 2）的四大支柱技術實現：</w:t>
      </w:r>
    </w:p>
    <w:tbl>
      <w:tblPr>
        <w:tblW w:type="auto" w:w="0"/>
        <w:jc w:val="center"/>
        <w:tblLook w:firstColumn="1" w:firstRow="1" w:lastColumn="0" w:lastRow="0" w:noHBand="0" w:noVBand="1" w:val="04A0"/>
      </w:tblPr>
      <w:tblGrid>
        <w:gridCol w:w="3216"/>
        <w:gridCol w:w="3216"/>
        <w:gridCol w:w="3216"/>
      </w:tblGrid>
      <w:tr>
        <w:tc>
          <w:tcPr>
            <w:tcW w:type="dxa" w:w="2880"/>
            <w:shd w:fill="F5EFEB"/>
            <w:tcMar>
              <w:top w:w="80" w:type="dxa"/>
              <w:bottom w:w="80" w:type="dxa"/>
              <w:left w:w="100" w:type="dxa"/>
              <w:right w:w="100" w:type="dxa"/>
            </w:tcMar>
          </w:tcPr>
          <w:p>
            <w:r>
              <w:rPr>
                <w:rFonts w:ascii="Arial" w:hAnsi="Arial"/>
                <w:b/>
                <w:color w:val="A83212"/>
                <w:sz w:val="17"/>
              </w:rPr>
              <w:t>技術支柱模組</w:t>
            </w:r>
          </w:p>
        </w:tc>
        <w:tc>
          <w:tcPr>
            <w:tcW w:type="dxa" w:w="3168"/>
            <w:shd w:fill="F5EFEB"/>
            <w:tcMar>
              <w:top w:w="80" w:type="dxa"/>
              <w:bottom w:w="80" w:type="dxa"/>
              <w:left w:w="100" w:type="dxa"/>
              <w:right w:w="100" w:type="dxa"/>
            </w:tcMar>
          </w:tcPr>
          <w:p>
            <w:r>
              <w:rPr>
                <w:rFonts w:ascii="Arial" w:hAnsi="Arial"/>
                <w:b/>
                <w:color w:val="A83212"/>
                <w:sz w:val="17"/>
              </w:rPr>
              <w:t>底層實現機制與規範</w:t>
            </w:r>
          </w:p>
        </w:tc>
        <w:tc>
          <w:tcPr>
            <w:tcW w:type="dxa" w:w="4608"/>
            <w:shd w:fill="F5EFEB"/>
            <w:tcMar>
              <w:top w:w="80" w:type="dxa"/>
              <w:bottom w:w="80" w:type="dxa"/>
              <w:left w:w="100" w:type="dxa"/>
              <w:right w:w="100" w:type="dxa"/>
            </w:tcMar>
          </w:tcPr>
          <w:p>
            <w:r>
              <w:rPr>
                <w:rFonts w:ascii="Arial" w:hAnsi="Arial"/>
                <w:b/>
                <w:color w:val="A83212"/>
                <w:sz w:val="17"/>
              </w:rPr>
              <w:t>在成衣製造中的具體應用場景</w:t>
            </w:r>
          </w:p>
        </w:tc>
      </w:tr>
      <w:tr>
        <w:tc>
          <w:tcPr>
            <w:tcW w:type="dxa" w:w="2880"/>
            <w:shd w:fill="FFFFFF"/>
            <w:tcMar>
              <w:top w:w="60" w:type="dxa"/>
              <w:bottom w:w="60" w:type="dxa"/>
              <w:left w:w="100" w:type="dxa"/>
              <w:right w:w="100" w:type="dxa"/>
            </w:tcMar>
          </w:tcPr>
          <w:p>
            <w:r>
              <w:rPr>
                <w:rFonts w:ascii="Arial" w:hAnsi="Arial"/>
                <w:color w:val="1C1917"/>
                <w:sz w:val="16"/>
              </w:rPr>
              <w:t>DirectLake 零複製查詢</w:t>
              <w:br/>
              <w:t>(Zero-Copy Virtualization)</w:t>
            </w:r>
          </w:p>
        </w:tc>
        <w:tc>
          <w:tcPr>
            <w:tcW w:type="dxa" w:w="3168"/>
            <w:shd w:fill="FFFFFF"/>
            <w:tcMar>
              <w:top w:w="60" w:type="dxa"/>
              <w:bottom w:w="60" w:type="dxa"/>
              <w:left w:w="100" w:type="dxa"/>
              <w:right w:w="100" w:type="dxa"/>
            </w:tcMar>
          </w:tcPr>
          <w:p>
            <w:r>
              <w:rPr>
                <w:rFonts w:ascii="Arial" w:hAnsi="Arial"/>
                <w:color w:val="1C1917"/>
                <w:sz w:val="16"/>
              </w:rPr>
              <w:t>直接讀取 ADLS Gen2 的 Parquet 檔案</w:t>
              <w:br/>
              <w:t>無需傳統 Analysis Services 重新載入記憶體</w:t>
            </w:r>
          </w:p>
        </w:tc>
        <w:tc>
          <w:tcPr>
            <w:tcW w:type="dxa" w:w="4608"/>
            <w:shd w:fill="FFFFFF"/>
            <w:tcMar>
              <w:top w:w="60" w:type="dxa"/>
              <w:bottom w:w="60" w:type="dxa"/>
              <w:left w:w="100" w:type="dxa"/>
              <w:right w:w="100" w:type="dxa"/>
            </w:tcMar>
          </w:tcPr>
          <w:p>
            <w:r>
              <w:rPr>
                <w:rFonts w:ascii="Arial" w:hAnsi="Arial"/>
                <w:color w:val="1C1917"/>
                <w:sz w:val="16"/>
              </w:rPr>
              <w:t>每日深夜離峰資料同步後，總部語意層秒級完成更新，不產生巨額資料庫複製開銷。</w:t>
            </w:r>
          </w:p>
        </w:tc>
      </w:tr>
      <w:tr>
        <w:tc>
          <w:tcPr>
            <w:tcW w:type="dxa" w:w="2880"/>
            <w:shd w:fill="FAFAF9"/>
            <w:tcMar>
              <w:top w:w="60" w:type="dxa"/>
              <w:bottom w:w="60" w:type="dxa"/>
              <w:left w:w="100" w:type="dxa"/>
              <w:right w:w="100" w:type="dxa"/>
            </w:tcMar>
          </w:tcPr>
          <w:p>
            <w:r>
              <w:rPr>
                <w:rFonts w:ascii="Arial" w:hAnsi="Arial"/>
                <w:color w:val="1C1917"/>
                <w:sz w:val="16"/>
              </w:rPr>
              <w:t>屬性型存取控制 (ABAC)</w:t>
              <w:br/>
              <w:t>與行級安全 (RLS)</w:t>
            </w:r>
          </w:p>
        </w:tc>
        <w:tc>
          <w:tcPr>
            <w:tcW w:type="dxa" w:w="3168"/>
            <w:shd w:fill="FAFAF9"/>
            <w:tcMar>
              <w:top w:w="60" w:type="dxa"/>
              <w:bottom w:w="60" w:type="dxa"/>
              <w:left w:w="100" w:type="dxa"/>
              <w:right w:w="100" w:type="dxa"/>
            </w:tcMar>
          </w:tcPr>
          <w:p>
            <w:r>
              <w:rPr>
                <w:rFonts w:ascii="Arial" w:hAnsi="Arial"/>
                <w:color w:val="1C1917"/>
                <w:sz w:val="16"/>
              </w:rPr>
              <w:t>依使用者廠區代碼 (PlantCode) 與角色動態過濾</w:t>
            </w:r>
          </w:p>
        </w:tc>
        <w:tc>
          <w:tcPr>
            <w:tcW w:type="dxa" w:w="4608"/>
            <w:shd w:fill="FAFAF9"/>
            <w:tcMar>
              <w:top w:w="60" w:type="dxa"/>
              <w:bottom w:w="60" w:type="dxa"/>
              <w:left w:w="100" w:type="dxa"/>
              <w:right w:w="100" w:type="dxa"/>
            </w:tcMar>
          </w:tcPr>
          <w:p>
            <w:r>
              <w:rPr>
                <w:rFonts w:ascii="Arial" w:hAnsi="Arial"/>
                <w:color w:val="1C1917"/>
                <w:sz w:val="16"/>
              </w:rPr>
              <w:t>越南廠生管主管登入系統，只能查閱越南廠工單與計件，嚴格阻斷跨廠越權竊密。</w:t>
            </w:r>
          </w:p>
        </w:tc>
      </w:tr>
      <w:tr>
        <w:tc>
          <w:tcPr>
            <w:tcW w:type="dxa" w:w="2880"/>
            <w:shd w:fill="FFFFFF"/>
            <w:tcMar>
              <w:top w:w="60" w:type="dxa"/>
              <w:bottom w:w="60" w:type="dxa"/>
              <w:left w:w="100" w:type="dxa"/>
              <w:right w:w="100" w:type="dxa"/>
            </w:tcMar>
          </w:tcPr>
          <w:p>
            <w:r>
              <w:rPr>
                <w:rFonts w:ascii="Arial" w:hAnsi="Arial"/>
                <w:color w:val="1C1917"/>
                <w:sz w:val="16"/>
              </w:rPr>
              <w:t>動態敏感欄位遮蔽 (CLS)</w:t>
              <w:br/>
              <w:t>(Column-Level Security)</w:t>
            </w:r>
          </w:p>
        </w:tc>
        <w:tc>
          <w:tcPr>
            <w:tcW w:type="dxa" w:w="3168"/>
            <w:shd w:fill="FFFFFF"/>
            <w:tcMar>
              <w:top w:w="60" w:type="dxa"/>
              <w:bottom w:w="60" w:type="dxa"/>
              <w:left w:w="100" w:type="dxa"/>
              <w:right w:w="100" w:type="dxa"/>
            </w:tcMar>
          </w:tcPr>
          <w:p>
            <w:r>
              <w:rPr>
                <w:rFonts w:ascii="Arial" w:hAnsi="Arial"/>
                <w:color w:val="1C1917"/>
                <w:sz w:val="16"/>
              </w:rPr>
              <w:t>敏感金額 (如 FOB 報價、勞工底薪) 動態雜湊遮罩</w:t>
            </w:r>
          </w:p>
        </w:tc>
        <w:tc>
          <w:tcPr>
            <w:tcW w:type="dxa" w:w="4608"/>
            <w:shd w:fill="FFFFFF"/>
            <w:tcMar>
              <w:top w:w="60" w:type="dxa"/>
              <w:bottom w:w="60" w:type="dxa"/>
              <w:left w:w="100" w:type="dxa"/>
              <w:right w:w="100" w:type="dxa"/>
            </w:tcMar>
          </w:tcPr>
          <w:p>
            <w:r>
              <w:rPr>
                <w:rFonts w:ascii="Arial" w:hAnsi="Arial"/>
                <w:color w:val="1C1917"/>
                <w:sz w:val="16"/>
              </w:rPr>
              <w:t>生管 AI Agent 回覆車間問題時，自動將報價欄位遮蔽為 `***`，杜絕商業底牌外洩。</w:t>
            </w:r>
          </w:p>
        </w:tc>
      </w:tr>
      <w:tr>
        <w:tc>
          <w:tcPr>
            <w:tcW w:type="dxa" w:w="2880"/>
            <w:shd w:fill="FAFAF9"/>
            <w:tcMar>
              <w:top w:w="60" w:type="dxa"/>
              <w:bottom w:w="60" w:type="dxa"/>
              <w:left w:w="100" w:type="dxa"/>
              <w:right w:w="100" w:type="dxa"/>
            </w:tcMar>
          </w:tcPr>
          <w:p>
            <w:r>
              <w:rPr>
                <w:rFonts w:ascii="Arial" w:hAnsi="Arial"/>
                <w:color w:val="1C1917"/>
                <w:sz w:val="16"/>
              </w:rPr>
              <w:t>自動化資料血緣 (Lineage)</w:t>
              <w:br/>
              <w:t>(Purview Metadata Catalog)</w:t>
            </w:r>
          </w:p>
        </w:tc>
        <w:tc>
          <w:tcPr>
            <w:tcW w:type="dxa" w:w="3168"/>
            <w:shd w:fill="FAFAF9"/>
            <w:tcMar>
              <w:top w:w="60" w:type="dxa"/>
              <w:bottom w:w="60" w:type="dxa"/>
              <w:left w:w="100" w:type="dxa"/>
              <w:right w:w="100" w:type="dxa"/>
            </w:tcMar>
          </w:tcPr>
          <w:p>
            <w:r>
              <w:rPr>
                <w:rFonts w:ascii="Arial" w:hAnsi="Arial"/>
                <w:color w:val="1C1917"/>
                <w:sz w:val="16"/>
              </w:rPr>
              <w:t>記錄每項指標計算所調用的底層資料表與欄位</w:t>
            </w:r>
          </w:p>
        </w:tc>
        <w:tc>
          <w:tcPr>
            <w:tcW w:type="dxa" w:w="4608"/>
            <w:shd w:fill="FAFAF9"/>
            <w:tcMar>
              <w:top w:w="60" w:type="dxa"/>
              <w:bottom w:w="60" w:type="dxa"/>
              <w:left w:w="100" w:type="dxa"/>
              <w:right w:w="100" w:type="dxa"/>
            </w:tcMar>
          </w:tcPr>
          <w:p>
            <w:r>
              <w:rPr>
                <w:rFonts w:ascii="Arial" w:hAnsi="Arial"/>
                <w:color w:val="1C1917"/>
                <w:sz w:val="16"/>
              </w:rPr>
              <w:t>每當車縫平衡率數字變更時，可一秒反向追溯是哪一條產線的哪位技工工時更新。</w:t>
            </w:r>
          </w:p>
        </w:tc>
      </w:tr>
    </w:tbl>
    <w:p>
      <w:pPr>
        <w:spacing w:after="80"/>
      </w:pPr>
    </w:p>
    <w:p>
      <w:r>
        <w:br w:type="page"/>
      </w:r>
    </w:p>
    <w:p>
      <w:pPr>
        <w:spacing w:before="160" w:after="80"/>
      </w:pPr>
      <w:r>
        <w:rPr>
          <w:rFonts w:ascii="Arial" w:hAnsi="Arial"/>
          <w:b/>
          <w:color w:val="D97706"/>
          <w:sz w:val="22"/>
        </w:rPr>
        <w:t xml:space="preserve">【第六章：語意治理】 </w:t>
      </w:r>
      <w:r>
        <w:rPr>
          <w:rFonts w:ascii="Arial" w:hAnsi="Arial"/>
          <w:b/>
          <w:color w:val="A83212"/>
          <w:sz w:val="30"/>
        </w:rPr>
        <w:t>6.8 業務級語意層：生管 AI Agent 與聯銓晨會看板同源調用</w:t>
      </w:r>
    </w:p>
    <w:p>
      <w:pPr>
        <w:spacing w:before="0" w:after="200"/>
      </w:pPr>
      <w:r>
        <w:rPr>
          <w:rFonts w:ascii="Arial" w:hAnsi="Arial"/>
          <w:i/>
          <w:color w:val="78716C"/>
          <w:sz w:val="19"/>
        </w:rPr>
        <w:t>Business Tier Deep Dive · Unified Semantics for AI Agents &amp; Smart eVision</w:t>
      </w:r>
    </w:p>
    <w:p>
      <w:pPr>
        <w:spacing w:before="0" w:after="120" w:line="276" w:lineRule="auto"/>
      </w:pPr>
      <w:r>
        <w:rPr>
          <w:rFonts w:ascii="Arial" w:hAnsi="Arial"/>
          <w:color w:val="1C1917"/>
          <w:sz w:val="19"/>
        </w:rPr>
        <w:t>過去企業導入 AI 最常失敗的場景，是『生管人員用 AI 查出來的產量，跟開晨會時廠長看到的數字不一樣』，導致晨會淪為互相質疑數據真偽的爭吵大會。在信源的雙層語意架構中，這項痛點被徹底根治：</w:t>
      </w:r>
    </w:p>
    <w:p>
      <w:pPr>
        <w:pStyle w:val="ListBullet"/>
        <w:spacing w:before="0" w:after="60" w:line="269" w:lineRule="auto"/>
      </w:pPr>
      <w:r>
        <w:rPr>
          <w:rFonts w:ascii="Arial" w:hAnsi="Arial"/>
          <w:b/>
          <w:color w:val="1C1917"/>
          <w:sz w:val="18"/>
        </w:rPr>
        <w:t>調用同一套商業計算引擎：</w:t>
      </w:r>
      <w:r>
        <w:rPr>
          <w:rFonts w:ascii="Arial" w:hAnsi="Arial"/>
          <w:color w:val="1C1917"/>
          <w:sz w:val="18"/>
        </w:rPr>
        <w:t>不管是生管人員在對話框輸入：『請問昨天柬埔寨二廠大貨開裁進度如何？』，還是各廠長在清晨 06:00 點開聯銓 Smart eVision 晨會看板，背後調用的**完全是企業級語意層發布的同一支 DAX / SQL 語意指標**！</w:t>
      </w:r>
    </w:p>
    <w:p>
      <w:pPr>
        <w:pStyle w:val="ListBullet"/>
        <w:spacing w:before="0" w:after="60" w:line="269" w:lineRule="auto"/>
      </w:pPr>
      <w:r>
        <w:rPr>
          <w:rFonts w:ascii="Arial" w:hAnsi="Arial"/>
          <w:b/>
          <w:color w:val="1C1917"/>
          <w:sz w:val="18"/>
        </w:rPr>
        <w:t>一次修改、全域同步生效：</w:t>
      </w:r>
      <w:r>
        <w:rPr>
          <w:rFonts w:ascii="Arial" w:hAnsi="Arial"/>
          <w:color w:val="1C1917"/>
          <w:sz w:val="18"/>
        </w:rPr>
        <w:t>當計算公式因為品牌客戶標準調整（例如將線平衡率的瓶頸工序閥值由 1.2 改為 1.15）時，只需在企業語意層修改一次，AI Agent 與管理報表立即同步生效，消滅所有系統維護時差！</w:t>
      </w:r>
    </w:p>
    <w:p>
      <w:pPr>
        <w:pStyle w:val="ListBullet"/>
        <w:spacing w:before="0" w:after="60" w:line="269" w:lineRule="auto"/>
      </w:pPr>
      <w:r>
        <w:rPr>
          <w:rFonts w:ascii="Arial" w:hAnsi="Arial"/>
          <w:b/>
          <w:color w:val="1C1917"/>
          <w:sz w:val="18"/>
        </w:rPr>
        <w:t>MCP 標準協議原生整合：</w:t>
      </w:r>
      <w:r>
        <w:rPr>
          <w:rFonts w:ascii="Arial" w:hAnsi="Arial"/>
          <w:color w:val="1C1917"/>
          <w:sz w:val="18"/>
        </w:rPr>
        <w:t>生管 AI Agent 透過 Model Context Protocol (MCP) 介面直接向語意層請求結構化 JSON，不再自己胡亂猜測運算，準確率達 100%！</w:t>
      </w:r>
    </w:p>
    <w:p>
      <w:r>
        <w:br w:type="page"/>
      </w:r>
    </w:p>
    <w:p>
      <w:pPr>
        <w:spacing w:before="160" w:after="80"/>
      </w:pPr>
      <w:r>
        <w:rPr>
          <w:rFonts w:ascii="Arial" w:hAnsi="Arial"/>
          <w:b/>
          <w:color w:val="D97706"/>
          <w:sz w:val="22"/>
        </w:rPr>
        <w:t xml:space="preserve">【第六章：語意治理】 </w:t>
      </w:r>
      <w:r>
        <w:rPr>
          <w:rFonts w:ascii="Arial" w:hAnsi="Arial"/>
          <w:b/>
          <w:color w:val="A83212"/>
          <w:sz w:val="30"/>
        </w:rPr>
        <w:t>6.9 20 大成衣核心製造指標標準計算公式庫清冊</w:t>
      </w:r>
    </w:p>
    <w:p>
      <w:pPr>
        <w:spacing w:before="0" w:after="200"/>
      </w:pPr>
      <w:r>
        <w:rPr>
          <w:rFonts w:ascii="Arial" w:hAnsi="Arial"/>
          <w:i/>
          <w:color w:val="78716C"/>
          <w:sz w:val="19"/>
        </w:rPr>
        <w:t>The 20 Garment Metrics Catalog · Standard Formulas &amp; Business Logic</w:t>
      </w:r>
    </w:p>
    <w:p>
      <w:pPr>
        <w:spacing w:before="0" w:after="120" w:line="276" w:lineRule="auto"/>
      </w:pPr>
      <w:r>
        <w:rPr>
          <w:rFonts w:ascii="Arial" w:hAnsi="Arial"/>
          <w:color w:val="1C1917"/>
          <w:sz w:val="19"/>
        </w:rPr>
        <w:t>第一階段顧問服務協同信源生管、技術與財務主管，正式梳理並固化了集團《20 大成衣核心製造指標標準計算公式庫》：</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指標編號與名稱</w:t>
            </w:r>
          </w:p>
        </w:tc>
        <w:tc>
          <w:tcPr>
            <w:tcW w:type="dxa" w:w="3744"/>
            <w:shd w:fill="F5EFEB"/>
            <w:tcMar>
              <w:top w:w="80" w:type="dxa"/>
              <w:bottom w:w="80" w:type="dxa"/>
              <w:left w:w="100" w:type="dxa"/>
              <w:right w:w="100" w:type="dxa"/>
            </w:tcMar>
          </w:tcPr>
          <w:p>
            <w:r>
              <w:rPr>
                <w:rFonts w:ascii="Arial" w:hAnsi="Arial"/>
                <w:b/>
                <w:color w:val="A83212"/>
                <w:sz w:val="17"/>
              </w:rPr>
              <w:t>標準商業計算公式 (Business Logic)</w:t>
            </w:r>
          </w:p>
        </w:tc>
        <w:tc>
          <w:tcPr>
            <w:tcW w:type="dxa" w:w="2304"/>
            <w:shd w:fill="F5EFEB"/>
            <w:tcMar>
              <w:top w:w="80" w:type="dxa"/>
              <w:bottom w:w="80" w:type="dxa"/>
              <w:left w:w="100" w:type="dxa"/>
              <w:right w:w="100" w:type="dxa"/>
            </w:tcMar>
          </w:tcPr>
          <w:p>
            <w:r>
              <w:rPr>
                <w:rFonts w:ascii="Arial" w:hAnsi="Arial"/>
                <w:b/>
                <w:color w:val="A83212"/>
                <w:sz w:val="17"/>
              </w:rPr>
              <w:t>標準資料來源表</w:t>
            </w:r>
          </w:p>
        </w:tc>
        <w:tc>
          <w:tcPr>
            <w:tcW w:type="dxa" w:w="2016"/>
            <w:shd w:fill="F5EFEB"/>
            <w:tcMar>
              <w:top w:w="80" w:type="dxa"/>
              <w:bottom w:w="80" w:type="dxa"/>
              <w:left w:w="100" w:type="dxa"/>
              <w:right w:w="100" w:type="dxa"/>
            </w:tcMar>
          </w:tcPr>
          <w:p>
            <w:r>
              <w:rPr>
                <w:rFonts w:ascii="Arial" w:hAnsi="Arial"/>
                <w:b/>
                <w:color w:val="A83212"/>
                <w:sz w:val="17"/>
              </w:rPr>
              <w:t>主管查核基準</w:t>
            </w:r>
          </w:p>
        </w:tc>
      </w:tr>
      <w:tr>
        <w:tc>
          <w:tcPr>
            <w:tcW w:type="dxa" w:w="2592"/>
            <w:shd w:fill="FFFFFF"/>
            <w:tcMar>
              <w:top w:w="60" w:type="dxa"/>
              <w:bottom w:w="60" w:type="dxa"/>
              <w:left w:w="100" w:type="dxa"/>
              <w:right w:w="100" w:type="dxa"/>
            </w:tcMar>
          </w:tcPr>
          <w:p>
            <w:r>
              <w:rPr>
                <w:rFonts w:ascii="Arial" w:hAnsi="Arial"/>
                <w:color w:val="1C1917"/>
                <w:sz w:val="16"/>
              </w:rPr>
              <w:t>M01 車縫線平衡率</w:t>
              <w:br/>
              <w:t>(Line Balance Rate)</w:t>
            </w:r>
          </w:p>
        </w:tc>
        <w:tc>
          <w:tcPr>
            <w:tcW w:type="dxa" w:w="3744"/>
            <w:shd w:fill="FFFFFF"/>
            <w:tcMar>
              <w:top w:w="60" w:type="dxa"/>
              <w:bottom w:w="60" w:type="dxa"/>
              <w:left w:w="100" w:type="dxa"/>
              <w:right w:w="100" w:type="dxa"/>
            </w:tcMar>
          </w:tcPr>
          <w:p>
            <w:r>
              <w:rPr>
                <w:rFonts w:ascii="Arial" w:hAnsi="Arial"/>
                <w:color w:val="1C1917"/>
                <w:sz w:val="16"/>
              </w:rPr>
              <w:t>Σ(各工位標準工時 SAM) ÷ [瓶頸工位 SAM × 工位總數] × 100%</w:t>
            </w:r>
          </w:p>
        </w:tc>
        <w:tc>
          <w:tcPr>
            <w:tcW w:type="dxa" w:w="2304"/>
            <w:shd w:fill="FFFFFF"/>
            <w:tcMar>
              <w:top w:w="60" w:type="dxa"/>
              <w:bottom w:w="60" w:type="dxa"/>
              <w:left w:w="100" w:type="dxa"/>
              <w:right w:w="100" w:type="dxa"/>
            </w:tcMar>
          </w:tcPr>
          <w:p>
            <w:r>
              <w:rPr>
                <w:rFonts w:ascii="Arial" w:hAnsi="Arial"/>
                <w:color w:val="1C1917"/>
                <w:sz w:val="16"/>
              </w:rPr>
              <w:t>CQS 工序庫 ＋</w:t>
              <w:br/>
              <w:t>MES 現場計件表</w:t>
            </w:r>
          </w:p>
        </w:tc>
        <w:tc>
          <w:tcPr>
            <w:tcW w:type="dxa" w:w="2016"/>
            <w:shd w:fill="FFFFFF"/>
            <w:tcMar>
              <w:top w:w="60" w:type="dxa"/>
              <w:bottom w:w="60" w:type="dxa"/>
              <w:left w:w="100" w:type="dxa"/>
              <w:right w:w="100" w:type="dxa"/>
            </w:tcMar>
          </w:tcPr>
          <w:p>
            <w:r>
              <w:rPr>
                <w:rFonts w:ascii="Arial" w:hAnsi="Arial"/>
                <w:color w:val="1C1917"/>
                <w:sz w:val="16"/>
              </w:rPr>
              <w:t>目標基準線 &gt; 85%</w:t>
              <w:br/>
              <w:t>平衡率低於 75% 即刻告警</w:t>
            </w:r>
          </w:p>
        </w:tc>
      </w:tr>
      <w:tr>
        <w:tc>
          <w:tcPr>
            <w:tcW w:type="dxa" w:w="2592"/>
            <w:shd w:fill="FAFAF9"/>
            <w:tcMar>
              <w:top w:w="60" w:type="dxa"/>
              <w:bottom w:w="60" w:type="dxa"/>
              <w:left w:w="100" w:type="dxa"/>
              <w:right w:w="100" w:type="dxa"/>
            </w:tcMar>
          </w:tcPr>
          <w:p>
            <w:r>
              <w:rPr>
                <w:rFonts w:ascii="Arial" w:hAnsi="Arial"/>
                <w:color w:val="1C1917"/>
                <w:sz w:val="16"/>
              </w:rPr>
              <w:t>M02 大貨布料利用率</w:t>
              <w:br/>
              <w:t>(Fabric Utilization)</w:t>
            </w:r>
          </w:p>
        </w:tc>
        <w:tc>
          <w:tcPr>
            <w:tcW w:type="dxa" w:w="3744"/>
            <w:shd w:fill="FAFAF9"/>
            <w:tcMar>
              <w:top w:w="60" w:type="dxa"/>
              <w:bottom w:w="60" w:type="dxa"/>
              <w:left w:w="100" w:type="dxa"/>
              <w:right w:w="100" w:type="dxa"/>
            </w:tcMar>
          </w:tcPr>
          <w:p>
            <w:r>
              <w:rPr>
                <w:rFonts w:ascii="Arial" w:hAnsi="Arial"/>
                <w:color w:val="1C1917"/>
                <w:sz w:val="16"/>
              </w:rPr>
              <w:t>[排料圖淨面積 × 大貨裁件數] ÷ 實際耗用布料總面積 × 100%</w:t>
            </w:r>
          </w:p>
        </w:tc>
        <w:tc>
          <w:tcPr>
            <w:tcW w:type="dxa" w:w="2304"/>
            <w:shd w:fill="FAFAF9"/>
            <w:tcMar>
              <w:top w:w="60" w:type="dxa"/>
              <w:bottom w:w="60" w:type="dxa"/>
              <w:left w:w="100" w:type="dxa"/>
              <w:right w:w="100" w:type="dxa"/>
            </w:tcMar>
          </w:tcPr>
          <w:p>
            <w:r>
              <w:rPr>
                <w:rFonts w:ascii="Arial" w:hAnsi="Arial"/>
                <w:color w:val="1C1917"/>
                <w:sz w:val="16"/>
              </w:rPr>
              <w:t>D365 領料單 ＋</w:t>
              <w:br/>
              <w:t>CAD 排料系統</w:t>
            </w:r>
          </w:p>
        </w:tc>
        <w:tc>
          <w:tcPr>
            <w:tcW w:type="dxa" w:w="2016"/>
            <w:shd w:fill="FAFAF9"/>
            <w:tcMar>
              <w:top w:w="60" w:type="dxa"/>
              <w:bottom w:w="60" w:type="dxa"/>
              <w:left w:w="100" w:type="dxa"/>
              <w:right w:w="100" w:type="dxa"/>
            </w:tcMar>
          </w:tcPr>
          <w:p>
            <w:r>
              <w:rPr>
                <w:rFonts w:ascii="Arial" w:hAnsi="Arial"/>
                <w:color w:val="1C1917"/>
                <w:sz w:val="16"/>
              </w:rPr>
              <w:t>基準目標 1.2% 改善</w:t>
              <w:br/>
              <w:t>節省布料採購現金流</w:t>
            </w:r>
          </w:p>
        </w:tc>
      </w:tr>
      <w:tr>
        <w:tc>
          <w:tcPr>
            <w:tcW w:type="dxa" w:w="2592"/>
            <w:shd w:fill="FFFFFF"/>
            <w:tcMar>
              <w:top w:w="60" w:type="dxa"/>
              <w:bottom w:w="60" w:type="dxa"/>
              <w:left w:w="100" w:type="dxa"/>
              <w:right w:w="100" w:type="dxa"/>
            </w:tcMar>
          </w:tcPr>
          <w:p>
            <w:r>
              <w:rPr>
                <w:rFonts w:ascii="Arial" w:hAnsi="Arial"/>
                <w:color w:val="1C1917"/>
                <w:sz w:val="16"/>
              </w:rPr>
              <w:t>M03 產前門禁齊套率</w:t>
              <w:br/>
              <w:t>(4-Gate Ready Ratio)</w:t>
            </w:r>
          </w:p>
        </w:tc>
        <w:tc>
          <w:tcPr>
            <w:tcW w:type="dxa" w:w="3744"/>
            <w:shd w:fill="FFFFFF"/>
            <w:tcMar>
              <w:top w:w="60" w:type="dxa"/>
              <w:bottom w:w="60" w:type="dxa"/>
              <w:left w:w="100" w:type="dxa"/>
              <w:right w:w="100" w:type="dxa"/>
            </w:tcMar>
          </w:tcPr>
          <w:p>
            <w:r>
              <w:rPr>
                <w:rFonts w:ascii="Arial" w:hAnsi="Arial"/>
                <w:color w:val="1C1917"/>
                <w:sz w:val="16"/>
              </w:rPr>
              <w:t>4 道門禁通過項目數 (Gate1~4) ÷ 4 項總數 × 100%</w:t>
            </w:r>
          </w:p>
        </w:tc>
        <w:tc>
          <w:tcPr>
            <w:tcW w:type="dxa" w:w="2304"/>
            <w:shd w:fill="FFFFFF"/>
            <w:tcMar>
              <w:top w:w="60" w:type="dxa"/>
              <w:bottom w:w="60" w:type="dxa"/>
              <w:left w:w="100" w:type="dxa"/>
              <w:right w:w="100" w:type="dxa"/>
            </w:tcMar>
          </w:tcPr>
          <w:p>
            <w:r>
              <w:rPr>
                <w:rFonts w:ascii="Arial" w:hAnsi="Arial"/>
                <w:color w:val="1C1917"/>
                <w:sz w:val="16"/>
              </w:rPr>
              <w:t>4-Gate 策略模組 ＋</w:t>
              <w:br/>
              <w:t>WMS 齊套檢驗表</w:t>
            </w:r>
          </w:p>
        </w:tc>
        <w:tc>
          <w:tcPr>
            <w:tcW w:type="dxa" w:w="2016"/>
            <w:shd w:fill="FFFFFF"/>
            <w:tcMar>
              <w:top w:w="60" w:type="dxa"/>
              <w:bottom w:w="60" w:type="dxa"/>
              <w:left w:w="100" w:type="dxa"/>
              <w:right w:w="100" w:type="dxa"/>
            </w:tcMar>
          </w:tcPr>
          <w:p>
            <w:r>
              <w:rPr>
                <w:rFonts w:ascii="Arial" w:hAnsi="Arial"/>
                <w:color w:val="1C1917"/>
                <w:sz w:val="16"/>
              </w:rPr>
              <w:t>嚴格要求 100% 齊套</w:t>
              <w:br/>
              <w:t>未達 100% 嚴禁開裁</w:t>
            </w:r>
          </w:p>
        </w:tc>
      </w:tr>
      <w:tr>
        <w:tc>
          <w:tcPr>
            <w:tcW w:type="dxa" w:w="2592"/>
            <w:shd w:fill="FAFAF9"/>
            <w:tcMar>
              <w:top w:w="60" w:type="dxa"/>
              <w:bottom w:w="60" w:type="dxa"/>
              <w:left w:w="100" w:type="dxa"/>
              <w:right w:w="100" w:type="dxa"/>
            </w:tcMar>
          </w:tcPr>
          <w:p>
            <w:r>
              <w:rPr>
                <w:rFonts w:ascii="Arial" w:hAnsi="Arial"/>
                <w:color w:val="1C1917"/>
                <w:sz w:val="16"/>
              </w:rPr>
              <w:t>M04 車間綜合效率 (OEE)</w:t>
            </w:r>
          </w:p>
        </w:tc>
        <w:tc>
          <w:tcPr>
            <w:tcW w:type="dxa" w:w="3744"/>
            <w:shd w:fill="FAFAF9"/>
            <w:tcMar>
              <w:top w:w="60" w:type="dxa"/>
              <w:bottom w:w="60" w:type="dxa"/>
              <w:left w:w="100" w:type="dxa"/>
              <w:right w:w="100" w:type="dxa"/>
            </w:tcMar>
          </w:tcPr>
          <w:p>
            <w:r>
              <w:rPr>
                <w:rFonts w:ascii="Arial" w:hAnsi="Arial"/>
                <w:color w:val="1C1917"/>
                <w:sz w:val="16"/>
              </w:rPr>
              <w:t>可用率 (Availability) × 表現指數 (Performance) × 良率 (Quality)</w:t>
            </w:r>
          </w:p>
        </w:tc>
        <w:tc>
          <w:tcPr>
            <w:tcW w:type="dxa" w:w="2304"/>
            <w:shd w:fill="FAFAF9"/>
            <w:tcMar>
              <w:top w:w="60" w:type="dxa"/>
              <w:bottom w:w="60" w:type="dxa"/>
              <w:left w:w="100" w:type="dxa"/>
              <w:right w:w="100" w:type="dxa"/>
            </w:tcMar>
          </w:tcPr>
          <w:p>
            <w:r>
              <w:rPr>
                <w:rFonts w:ascii="Arial" w:hAnsi="Arial"/>
                <w:color w:val="1C1917"/>
                <w:sz w:val="16"/>
              </w:rPr>
              <w:t>車間 IoT 設備感測 ＋</w:t>
              <w:br/>
              <w:t>品質檢驗系統</w:t>
            </w:r>
          </w:p>
        </w:tc>
        <w:tc>
          <w:tcPr>
            <w:tcW w:type="dxa" w:w="2016"/>
            <w:shd w:fill="FAFAF9"/>
            <w:tcMar>
              <w:top w:w="60" w:type="dxa"/>
              <w:bottom w:w="60" w:type="dxa"/>
              <w:left w:w="100" w:type="dxa"/>
              <w:right w:w="100" w:type="dxa"/>
            </w:tcMar>
          </w:tcPr>
          <w:p>
            <w:r>
              <w:rPr>
                <w:rFonts w:ascii="Arial" w:hAnsi="Arial"/>
                <w:color w:val="1C1917"/>
                <w:sz w:val="16"/>
              </w:rPr>
              <w:t>全球標竿 &gt; 80%</w:t>
              <w:br/>
              <w:t>海外各廠晨會每日核對</w:t>
            </w:r>
          </w:p>
        </w:tc>
      </w:tr>
      <w:tr>
        <w:tc>
          <w:tcPr>
            <w:tcW w:type="dxa" w:w="2592"/>
            <w:shd w:fill="FFFFFF"/>
            <w:tcMar>
              <w:top w:w="60" w:type="dxa"/>
              <w:bottom w:w="60" w:type="dxa"/>
              <w:left w:w="100" w:type="dxa"/>
              <w:right w:w="100" w:type="dxa"/>
            </w:tcMar>
          </w:tcPr>
          <w:p>
            <w:r>
              <w:rPr>
                <w:rFonts w:ascii="Arial" w:hAnsi="Arial"/>
                <w:color w:val="1C1917"/>
                <w:sz w:val="16"/>
              </w:rPr>
              <w:t>M05 一次檢驗合格率</w:t>
              <w:br/>
              <w:t>(First Pass Yield)</w:t>
            </w:r>
          </w:p>
        </w:tc>
        <w:tc>
          <w:tcPr>
            <w:tcW w:type="dxa" w:w="3744"/>
            <w:shd w:fill="FFFFFF"/>
            <w:tcMar>
              <w:top w:w="60" w:type="dxa"/>
              <w:bottom w:w="60" w:type="dxa"/>
              <w:left w:w="100" w:type="dxa"/>
              <w:right w:w="100" w:type="dxa"/>
            </w:tcMar>
          </w:tcPr>
          <w:p>
            <w:r>
              <w:rPr>
                <w:rFonts w:ascii="Arial" w:hAnsi="Arial"/>
                <w:color w:val="1C1917"/>
                <w:sz w:val="16"/>
              </w:rPr>
              <w:t>車縫下線一次檢驗無瑕疵件數 ÷ 車縫總檢驗件數 × 100%</w:t>
            </w:r>
          </w:p>
        </w:tc>
        <w:tc>
          <w:tcPr>
            <w:tcW w:type="dxa" w:w="2304"/>
            <w:shd w:fill="FFFFFF"/>
            <w:tcMar>
              <w:top w:w="60" w:type="dxa"/>
              <w:bottom w:w="60" w:type="dxa"/>
              <w:left w:w="100" w:type="dxa"/>
              <w:right w:w="100" w:type="dxa"/>
            </w:tcMar>
          </w:tcPr>
          <w:p>
            <w:r>
              <w:rPr>
                <w:rFonts w:ascii="Arial" w:hAnsi="Arial"/>
                <w:color w:val="1C1917"/>
                <w:sz w:val="16"/>
              </w:rPr>
              <w:t>CQS 成衣檢驗紀錄 ＋</w:t>
              <w:br/>
              <w:t>QA 稽核表</w:t>
            </w:r>
          </w:p>
        </w:tc>
        <w:tc>
          <w:tcPr>
            <w:tcW w:type="dxa" w:w="2016"/>
            <w:shd w:fill="FFFFFF"/>
            <w:tcMar>
              <w:top w:w="60" w:type="dxa"/>
              <w:bottom w:w="60" w:type="dxa"/>
              <w:left w:w="100" w:type="dxa"/>
              <w:right w:w="100" w:type="dxa"/>
            </w:tcMar>
          </w:tcPr>
          <w:p>
            <w:r>
              <w:rPr>
                <w:rFonts w:ascii="Arial" w:hAnsi="Arial"/>
                <w:color w:val="1C1917"/>
                <w:sz w:val="16"/>
              </w:rPr>
              <w:t>目標 &gt; 96.5%</w:t>
              <w:br/>
              <w:t>連續 3 件異常自動鎖線</w:t>
            </w:r>
          </w:p>
        </w:tc>
      </w:tr>
    </w:tbl>
    <w:p>
      <w:pPr>
        <w:spacing w:after="80"/>
      </w:pPr>
    </w:p>
    <w:p>
      <w:r>
        <w:br w:type="page"/>
      </w:r>
    </w:p>
    <w:p>
      <w:pPr>
        <w:spacing w:before="160" w:after="80"/>
      </w:pPr>
      <w:r>
        <w:rPr>
          <w:rFonts w:ascii="Arial" w:hAnsi="Arial"/>
          <w:b/>
          <w:color w:val="D97706"/>
          <w:sz w:val="22"/>
        </w:rPr>
        <w:t xml:space="preserve">【第六章：語意治理】 </w:t>
      </w:r>
      <w:r>
        <w:rPr>
          <w:rFonts w:ascii="Arial" w:hAnsi="Arial"/>
          <w:b/>
          <w:color w:val="A83212"/>
          <w:sz w:val="30"/>
        </w:rPr>
        <w:t>6.10 指標治理成效：徹底消滅生管 AI 預測與廠長晨會報表矛盾</w:t>
      </w:r>
    </w:p>
    <w:p>
      <w:pPr>
        <w:spacing w:before="0" w:after="200"/>
      </w:pPr>
      <w:r>
        <w:rPr>
          <w:rFonts w:ascii="Arial" w:hAnsi="Arial"/>
          <w:i/>
          <w:color w:val="78716C"/>
          <w:sz w:val="19"/>
        </w:rPr>
        <w:t>Governance Value Realized · Zero Metric Friction &amp; Executive Alignment</w:t>
      </w:r>
    </w:p>
    <w:p>
      <w:pPr>
        <w:spacing w:before="0" w:after="120" w:line="276" w:lineRule="auto"/>
      </w:pPr>
      <w:r>
        <w:rPr>
          <w:rFonts w:ascii="Arial" w:hAnsi="Arial"/>
          <w:color w:val="1C1917"/>
          <w:sz w:val="19"/>
        </w:rPr>
        <w:t>經過第一階段語意治理的洗禮，信源在 2027 年數位營運上取得了決定性的組織成果：</w:t>
      </w:r>
    </w:p>
    <w:tbl>
      <w:tblPr>
        <w:tblW w:type="auto" w:w="0"/>
        <w:jc w:val="center"/>
        <w:tblLook w:firstColumn="1" w:firstRow="1" w:lastColumn="0" w:lastRow="0" w:noHBand="0" w:noVBand="1" w:val="04A0"/>
      </w:tblPr>
      <w:tblGrid>
        <w:gridCol w:w="2412"/>
        <w:gridCol w:w="2412"/>
        <w:gridCol w:w="2412"/>
        <w:gridCol w:w="2412"/>
      </w:tblGrid>
      <w:tr>
        <w:tc>
          <w:tcPr>
            <w:tcW w:type="dxa" w:w="2304"/>
            <w:shd w:fill="F5EFEB"/>
            <w:tcMar>
              <w:top w:w="80" w:type="dxa"/>
              <w:bottom w:w="80" w:type="dxa"/>
              <w:left w:w="100" w:type="dxa"/>
              <w:right w:w="100" w:type="dxa"/>
            </w:tcMar>
          </w:tcPr>
          <w:p>
            <w:r>
              <w:rPr>
                <w:rFonts w:ascii="Arial" w:hAnsi="Arial"/>
                <w:b/>
                <w:color w:val="A83212"/>
                <w:sz w:val="17"/>
              </w:rPr>
              <w:t>管理治理維度</w:t>
            </w:r>
          </w:p>
        </w:tc>
        <w:tc>
          <w:tcPr>
            <w:tcW w:type="dxa" w:w="3168"/>
            <w:shd w:fill="F5EFEB"/>
            <w:tcMar>
              <w:top w:w="80" w:type="dxa"/>
              <w:bottom w:w="80" w:type="dxa"/>
              <w:left w:w="100" w:type="dxa"/>
              <w:right w:w="100" w:type="dxa"/>
            </w:tcMar>
          </w:tcPr>
          <w:p>
            <w:r>
              <w:rPr>
                <w:rFonts w:ascii="Arial" w:hAnsi="Arial"/>
                <w:b/>
                <w:color w:val="A83212"/>
                <w:sz w:val="17"/>
              </w:rPr>
              <w:t>過去指標混亂時代之困境</w:t>
            </w:r>
          </w:p>
        </w:tc>
        <w:tc>
          <w:tcPr>
            <w:tcW w:type="dxa" w:w="3168"/>
            <w:shd w:fill="F5EFEB"/>
            <w:tcMar>
              <w:top w:w="80" w:type="dxa"/>
              <w:bottom w:w="80" w:type="dxa"/>
              <w:left w:w="100" w:type="dxa"/>
              <w:right w:w="100" w:type="dxa"/>
            </w:tcMar>
          </w:tcPr>
          <w:p>
            <w:r>
              <w:rPr>
                <w:rFonts w:ascii="Arial" w:hAnsi="Arial"/>
                <w:b/>
                <w:color w:val="A83212"/>
                <w:sz w:val="17"/>
              </w:rPr>
              <w:t>導入雙層語意層後之成效</w:t>
            </w:r>
          </w:p>
        </w:tc>
        <w:tc>
          <w:tcPr>
            <w:tcW w:type="dxa" w:w="2016"/>
            <w:shd w:fill="F5EFEB"/>
            <w:tcMar>
              <w:top w:w="80" w:type="dxa"/>
              <w:bottom w:w="80" w:type="dxa"/>
              <w:left w:w="100" w:type="dxa"/>
              <w:right w:w="100" w:type="dxa"/>
            </w:tcMar>
          </w:tcPr>
          <w:p>
            <w:r>
              <w:rPr>
                <w:rFonts w:ascii="Arial" w:hAnsi="Arial"/>
                <w:b/>
                <w:color w:val="A83212"/>
                <w:sz w:val="17"/>
              </w:rPr>
              <w:t>長遠戰略組織效益</w:t>
            </w:r>
          </w:p>
        </w:tc>
      </w:tr>
      <w:tr>
        <w:tc>
          <w:tcPr>
            <w:tcW w:type="dxa" w:w="2304"/>
            <w:shd w:fill="FFFFFF"/>
            <w:tcMar>
              <w:top w:w="60" w:type="dxa"/>
              <w:bottom w:w="60" w:type="dxa"/>
              <w:left w:w="100" w:type="dxa"/>
              <w:right w:w="100" w:type="dxa"/>
            </w:tcMar>
          </w:tcPr>
          <w:p>
            <w:r>
              <w:rPr>
                <w:rFonts w:ascii="Arial" w:hAnsi="Arial"/>
                <w:color w:val="1C1917"/>
                <w:sz w:val="16"/>
              </w:rPr>
              <w:t>跨國晨會對帳</w:t>
            </w:r>
          </w:p>
        </w:tc>
        <w:tc>
          <w:tcPr>
            <w:tcW w:type="dxa" w:w="3168"/>
            <w:shd w:fill="FFFFFF"/>
            <w:tcMar>
              <w:top w:w="60" w:type="dxa"/>
              <w:bottom w:w="60" w:type="dxa"/>
              <w:left w:w="100" w:type="dxa"/>
              <w:right w:w="100" w:type="dxa"/>
            </w:tcMar>
          </w:tcPr>
          <w:p>
            <w:r>
              <w:rPr>
                <w:rFonts w:ascii="Arial" w:hAnsi="Arial"/>
                <w:color w:val="1C1917"/>
                <w:sz w:val="16"/>
              </w:rPr>
              <w:t>各廠長帶自己的 Excel 開會，</w:t>
              <w:br/>
              <w:t>總部與各廠數字永遠對不齊。</w:t>
            </w:r>
          </w:p>
        </w:tc>
        <w:tc>
          <w:tcPr>
            <w:tcW w:type="dxa" w:w="3168"/>
            <w:shd w:fill="FFFFFF"/>
            <w:tcMar>
              <w:top w:w="60" w:type="dxa"/>
              <w:bottom w:w="60" w:type="dxa"/>
              <w:left w:w="100" w:type="dxa"/>
              <w:right w:w="100" w:type="dxa"/>
            </w:tcMar>
          </w:tcPr>
          <w:p>
            <w:r>
              <w:rPr>
                <w:rFonts w:ascii="Arial" w:hAnsi="Arial"/>
                <w:color w:val="1C1917"/>
                <w:sz w:val="16"/>
              </w:rPr>
              <w:t>全集團清晨 06:00 晨會</w:t>
              <w:br/>
              <w:t>使用同一份 Gold 層語意數據。</w:t>
            </w:r>
          </w:p>
        </w:tc>
        <w:tc>
          <w:tcPr>
            <w:tcW w:type="dxa" w:w="2016"/>
            <w:shd w:fill="FFFFFF"/>
            <w:tcMar>
              <w:top w:w="60" w:type="dxa"/>
              <w:bottom w:w="60" w:type="dxa"/>
              <w:left w:w="100" w:type="dxa"/>
              <w:right w:w="100" w:type="dxa"/>
            </w:tcMar>
          </w:tcPr>
          <w:p>
            <w:r>
              <w:rPr>
                <w:rFonts w:ascii="Arial" w:hAnsi="Arial"/>
                <w:color w:val="1C1917"/>
                <w:sz w:val="16"/>
              </w:rPr>
              <w:t>開會時間由 60 分鐘壓縮至 15 分鐘，全面聚焦於異常排除。</w:t>
            </w:r>
          </w:p>
        </w:tc>
      </w:tr>
      <w:tr>
        <w:tc>
          <w:tcPr>
            <w:tcW w:type="dxa" w:w="2304"/>
            <w:shd w:fill="FAFAF9"/>
            <w:tcMar>
              <w:top w:w="60" w:type="dxa"/>
              <w:bottom w:w="60" w:type="dxa"/>
              <w:left w:w="100" w:type="dxa"/>
              <w:right w:w="100" w:type="dxa"/>
            </w:tcMar>
          </w:tcPr>
          <w:p>
            <w:r>
              <w:rPr>
                <w:rFonts w:ascii="Arial" w:hAnsi="Arial"/>
                <w:color w:val="1C1917"/>
                <w:sz w:val="16"/>
              </w:rPr>
              <w:t>生管 AI Agent</w:t>
            </w:r>
          </w:p>
        </w:tc>
        <w:tc>
          <w:tcPr>
            <w:tcW w:type="dxa" w:w="3168"/>
            <w:shd w:fill="FAFAF9"/>
            <w:tcMar>
              <w:top w:w="60" w:type="dxa"/>
              <w:bottom w:w="60" w:type="dxa"/>
              <w:left w:w="100" w:type="dxa"/>
              <w:right w:w="100" w:type="dxa"/>
            </w:tcMar>
          </w:tcPr>
          <w:p>
            <w:r>
              <w:rPr>
                <w:rFonts w:ascii="Arial" w:hAnsi="Arial"/>
                <w:color w:val="1C1917"/>
                <w:sz w:val="16"/>
              </w:rPr>
              <w:t>同仁不敢用，擔心 AI 算出的</w:t>
              <w:br/>
              <w:t>用料預測與排產建議失真。</w:t>
            </w:r>
          </w:p>
        </w:tc>
        <w:tc>
          <w:tcPr>
            <w:tcW w:type="dxa" w:w="3168"/>
            <w:shd w:fill="FAFAF9"/>
            <w:tcMar>
              <w:top w:w="60" w:type="dxa"/>
              <w:bottom w:w="60" w:type="dxa"/>
              <w:left w:w="100" w:type="dxa"/>
              <w:right w:w="100" w:type="dxa"/>
            </w:tcMar>
          </w:tcPr>
          <w:p>
            <w:r>
              <w:rPr>
                <w:rFonts w:ascii="Arial" w:hAnsi="Arial"/>
                <w:color w:val="1C1917"/>
                <w:sz w:val="16"/>
              </w:rPr>
              <w:t>AI 查詢結果背後皆帶有官方公式</w:t>
              <w:br/>
              <w:t>與資料來源工單號，同仁極度信任。</w:t>
            </w:r>
          </w:p>
        </w:tc>
        <w:tc>
          <w:tcPr>
            <w:tcW w:type="dxa" w:w="2016"/>
            <w:shd w:fill="FAFAF9"/>
            <w:tcMar>
              <w:top w:w="60" w:type="dxa"/>
              <w:bottom w:w="60" w:type="dxa"/>
              <w:left w:w="100" w:type="dxa"/>
              <w:right w:w="100" w:type="dxa"/>
            </w:tcMar>
          </w:tcPr>
          <w:p>
            <w:r>
              <w:rPr>
                <w:rFonts w:ascii="Arial" w:hAnsi="Arial"/>
                <w:color w:val="1C1917"/>
                <w:sz w:val="16"/>
              </w:rPr>
              <w:t>預估釋放生管與業務同仁 15%~25% 之繁瑣跨系統查表工時！</w:t>
            </w:r>
          </w:p>
        </w:tc>
      </w:tr>
      <w:tr>
        <w:tc>
          <w:tcPr>
            <w:tcW w:type="dxa" w:w="2304"/>
            <w:shd w:fill="FFFFFF"/>
            <w:tcMar>
              <w:top w:w="60" w:type="dxa"/>
              <w:bottom w:w="60" w:type="dxa"/>
              <w:left w:w="100" w:type="dxa"/>
              <w:right w:w="100" w:type="dxa"/>
            </w:tcMar>
          </w:tcPr>
          <w:p>
            <w:r>
              <w:rPr>
                <w:rFonts w:ascii="Arial" w:hAnsi="Arial"/>
                <w:color w:val="1C1917"/>
                <w:sz w:val="16"/>
              </w:rPr>
              <w:t>品牌客戶稽核</w:t>
            </w:r>
          </w:p>
        </w:tc>
        <w:tc>
          <w:tcPr>
            <w:tcW w:type="dxa" w:w="3168"/>
            <w:shd w:fill="FFFFFF"/>
            <w:tcMar>
              <w:top w:w="60" w:type="dxa"/>
              <w:bottom w:w="60" w:type="dxa"/>
              <w:left w:w="100" w:type="dxa"/>
              <w:right w:w="100" w:type="dxa"/>
            </w:tcMar>
          </w:tcPr>
          <w:p>
            <w:r>
              <w:rPr>
                <w:rFonts w:ascii="Arial" w:hAnsi="Arial"/>
                <w:color w:val="1C1917"/>
                <w:sz w:val="16"/>
              </w:rPr>
              <w:t>國際品牌稽核員要求出具碳足跡</w:t>
              <w:br/>
              <w:t>與布損報告，需人工整理 2 週。</w:t>
            </w:r>
          </w:p>
        </w:tc>
        <w:tc>
          <w:tcPr>
            <w:tcW w:type="dxa" w:w="3168"/>
            <w:shd w:fill="FFFFFF"/>
            <w:tcMar>
              <w:top w:w="60" w:type="dxa"/>
              <w:bottom w:w="60" w:type="dxa"/>
              <w:left w:w="100" w:type="dxa"/>
              <w:right w:w="100" w:type="dxa"/>
            </w:tcMar>
          </w:tcPr>
          <w:p>
            <w:r>
              <w:rPr>
                <w:rFonts w:ascii="Arial" w:hAnsi="Arial"/>
                <w:color w:val="1C1917"/>
                <w:sz w:val="16"/>
              </w:rPr>
              <w:t>點擊語意層一鍵匯出具備資料血緣</w:t>
              <w:br/>
              <w:t>的標準稽核報告，數據不可篡改。</w:t>
            </w:r>
          </w:p>
        </w:tc>
        <w:tc>
          <w:tcPr>
            <w:tcW w:type="dxa" w:w="2016"/>
            <w:shd w:fill="FFFFFF"/>
            <w:tcMar>
              <w:top w:w="60" w:type="dxa"/>
              <w:bottom w:w="60" w:type="dxa"/>
              <w:left w:w="100" w:type="dxa"/>
              <w:right w:w="100" w:type="dxa"/>
            </w:tcMar>
          </w:tcPr>
          <w:p>
            <w:r>
              <w:rPr>
                <w:rFonts w:ascii="Arial" w:hAnsi="Arial"/>
                <w:color w:val="1C1917"/>
                <w:sz w:val="16"/>
              </w:rPr>
              <w:t>大幅提升品牌客戶評級（Vendor Rating），穩固長期大單。</w:t>
            </w:r>
          </w:p>
        </w:tc>
      </w:tr>
    </w:tbl>
    <w:p>
      <w:pPr>
        <w:spacing w:after="80"/>
      </w:pPr>
    </w:p>
    <w:p>
      <w:r>
        <w:br w:type="page"/>
      </w:r>
    </w:p>
    <w:p>
      <w:pPr>
        <w:spacing w:before="160" w:after="80"/>
      </w:pPr>
      <w:r>
        <w:rPr>
          <w:rFonts w:ascii="Arial" w:hAnsi="Arial"/>
          <w:b/>
          <w:color w:val="D97706"/>
          <w:sz w:val="22"/>
        </w:rPr>
        <w:t xml:space="preserve">【第七章：邊緣韌性】 </w:t>
      </w:r>
      <w:r>
        <w:rPr>
          <w:rFonts w:ascii="Arial" w:hAnsi="Arial"/>
          <w:b/>
          <w:color w:val="A83212"/>
          <w:sz w:val="30"/>
        </w:rPr>
        <w:t>7.1 東南亞海底電纜突發斷網之極端情境威脅分析</w:t>
      </w:r>
    </w:p>
    <w:p>
      <w:pPr>
        <w:spacing w:before="0" w:after="200"/>
      </w:pPr>
      <w:r>
        <w:rPr>
          <w:rFonts w:ascii="Arial" w:hAnsi="Arial"/>
          <w:i/>
          <w:color w:val="78716C"/>
          <w:sz w:val="19"/>
        </w:rPr>
        <w:t>Subsea Cable Severance Scenarios &amp; Factory Survival Realities</w:t>
      </w:r>
    </w:p>
    <w:p>
      <w:pPr>
        <w:spacing w:before="0" w:after="120" w:line="276" w:lineRule="auto"/>
      </w:pPr>
      <w:r>
        <w:rPr>
          <w:rFonts w:ascii="Arial" w:hAnsi="Arial"/>
          <w:color w:val="1C1917"/>
          <w:sz w:val="19"/>
        </w:rPr>
        <w:t>東南亞製造重鎮（越南隆安、柬埔寨金邊、印尼中爪哇）面臨最殘酷的地理現實是國際海底電纜的高故障率。歷史數據顯示，越南 AAG 與 APG 海纜每年平均發生 3~5 次斷裂事故，每次修復需耗時 2 週至 2 個月；柬埔寨與印尼內陸電信更常因暴雨或施工挖斷光纖造成區域性斷網。</w:t>
      </w:r>
    </w:p>
    <w:p>
      <w:pPr>
        <w:spacing w:before="0" w:after="120" w:line="276" w:lineRule="auto"/>
      </w:pPr>
      <w:r>
        <w:rPr>
          <w:rFonts w:ascii="Arial" w:hAnsi="Arial"/>
          <w:color w:val="1C1917"/>
          <w:sz w:val="19"/>
        </w:rPr>
        <w:t>如果成衣工廠的車間計件、裁片防呆與出貨刷槍系統強烈相依於台北總部或雲端伺服器，海纜一旦切斷，全廠數千名技工將被迫停工待料！每日產線停擺造成的固定人工成本損失高達數萬美元，更面臨成衣趕不上交期被迫走昂貴空運包機的巨大違約風險。建立『邊緣離線生存能力（Edge Survivability）』是信源跨國製造的生死底線。</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【邊緣韌性核心哲學】</w:t>
              <w:br/>
            </w:r>
            <w:r>
              <w:rPr>
                <w:rFonts w:ascii="Arial" w:hAnsi="Arial"/>
                <w:color w:val="1C1917"/>
                <w:sz w:val="18"/>
              </w:rPr>
              <w:t>『工廠的機器不能因為大海裡的電纜斷了就停下來。』邊緣計算的終極使命，是讓海外每一座車間都成為一艘具備完全自律生存能力的航空母艦。</w:t>
            </w:r>
          </w:p>
        </w:tc>
      </w:tr>
    </w:tbl>
    <w:p>
      <w:pPr>
        <w:spacing w:after="80"/>
      </w:pPr>
    </w:p>
    <w:p>
      <w:r>
        <w:br w:type="page"/>
      </w:r>
    </w:p>
    <w:p>
      <w:pPr>
        <w:spacing w:before="160" w:after="80"/>
      </w:pPr>
      <w:r>
        <w:rPr>
          <w:rFonts w:ascii="Arial" w:hAnsi="Arial"/>
          <w:b/>
          <w:color w:val="D97706"/>
          <w:sz w:val="22"/>
        </w:rPr>
        <w:t xml:space="preserve">【第七章：邊緣韌性】 </w:t>
      </w:r>
      <w:r>
        <w:rPr>
          <w:rFonts w:ascii="Arial" w:hAnsi="Arial"/>
          <w:b/>
          <w:color w:val="A83212"/>
          <w:sz w:val="30"/>
        </w:rPr>
        <w:t>7.2 華碩 ASUS Ascent GX10 工業級邊緣迷你 AI 工作站選型與部署</w:t>
      </w:r>
    </w:p>
    <w:p>
      <w:pPr>
        <w:spacing w:before="0" w:after="200"/>
      </w:pPr>
      <w:r>
        <w:rPr>
          <w:rFonts w:ascii="Arial" w:hAnsi="Arial"/>
          <w:i/>
          <w:color w:val="78716C"/>
          <w:sz w:val="19"/>
        </w:rPr>
        <w:t>Edge Hardware Standardization · ASUS Ascent GX10 Industrial AI Workstation</w:t>
      </w:r>
    </w:p>
    <w:p>
      <w:pPr>
        <w:spacing w:before="0" w:after="120" w:line="276" w:lineRule="auto"/>
      </w:pPr>
      <w:r>
        <w:rPr>
          <w:rFonts w:ascii="Arial" w:hAnsi="Arial"/>
          <w:color w:val="1C1917"/>
          <w:sz w:val="19"/>
        </w:rPr>
        <w:t>在硬體選型上，周文津副總經理在會談中明確指出：『海外工廠不需要買幾百萬的昂貴伺服器，海外工廠的環境很差，邊緣主機用華碩 ASUS Ascent GX10 來處理即可！』</w:t>
      </w:r>
    </w:p>
    <w:p>
      <w:pPr>
        <w:spacing w:before="0" w:after="120" w:line="276" w:lineRule="auto"/>
      </w:pPr>
      <w:r>
        <w:rPr>
          <w:rFonts w:ascii="Arial" w:hAnsi="Arial"/>
          <w:color w:val="1C1917"/>
          <w:sz w:val="19"/>
        </w:rPr>
        <w:t>顧問團隊對此選型給予高度的專業肯定，並完成了全廠硬體部署規格定案：</w:t>
      </w:r>
    </w:p>
    <w:tbl>
      <w:tblPr>
        <w:tblW w:type="auto" w:w="0"/>
        <w:jc w:val="center"/>
        <w:tblLook w:firstColumn="1" w:firstRow="1" w:lastColumn="0" w:lastRow="0" w:noHBand="0" w:noVBand="1" w:val="04A0"/>
      </w:tblPr>
      <w:tblGrid>
        <w:gridCol w:w="3216"/>
        <w:gridCol w:w="3216"/>
        <w:gridCol w:w="3216"/>
      </w:tblGrid>
      <w:tr>
        <w:tc>
          <w:tcPr>
            <w:tcW w:type="dxa" w:w="2592"/>
            <w:shd w:fill="F5EFEB"/>
            <w:tcMar>
              <w:top w:w="80" w:type="dxa"/>
              <w:bottom w:w="80" w:type="dxa"/>
              <w:left w:w="100" w:type="dxa"/>
              <w:right w:w="100" w:type="dxa"/>
            </w:tcMar>
          </w:tcPr>
          <w:p>
            <w:r>
              <w:rPr>
                <w:rFonts w:ascii="Arial" w:hAnsi="Arial"/>
                <w:b/>
                <w:color w:val="A83212"/>
                <w:sz w:val="17"/>
              </w:rPr>
              <w:t>硬體評估維度</w:t>
            </w:r>
          </w:p>
        </w:tc>
        <w:tc>
          <w:tcPr>
            <w:tcW w:type="dxa" w:w="3456"/>
            <w:shd w:fill="F5EFEB"/>
            <w:tcMar>
              <w:top w:w="80" w:type="dxa"/>
              <w:bottom w:w="80" w:type="dxa"/>
              <w:left w:w="100" w:type="dxa"/>
              <w:right w:w="100" w:type="dxa"/>
            </w:tcMar>
          </w:tcPr>
          <w:p>
            <w:r>
              <w:rPr>
                <w:rFonts w:ascii="Arial" w:hAnsi="Arial"/>
                <w:b/>
                <w:color w:val="A83212"/>
                <w:sz w:val="17"/>
              </w:rPr>
              <w:t>ASUS Ascent GX10 規格實測</w:t>
            </w:r>
          </w:p>
        </w:tc>
        <w:tc>
          <w:tcPr>
            <w:tcW w:type="dxa" w:w="4320"/>
            <w:shd w:fill="F5EFEB"/>
            <w:tcMar>
              <w:top w:w="80" w:type="dxa"/>
              <w:bottom w:w="80" w:type="dxa"/>
              <w:left w:w="100" w:type="dxa"/>
              <w:right w:w="100" w:type="dxa"/>
            </w:tcMar>
          </w:tcPr>
          <w:p>
            <w:r>
              <w:rPr>
                <w:rFonts w:ascii="Arial" w:hAnsi="Arial"/>
                <w:b/>
                <w:color w:val="A83212"/>
                <w:sz w:val="17"/>
              </w:rPr>
              <w:t>在成衣車間惡劣環境中之適應優勢</w:t>
            </w:r>
          </w:p>
        </w:tc>
      </w:tr>
      <w:tr>
        <w:tc>
          <w:tcPr>
            <w:tcW w:type="dxa" w:w="2592"/>
            <w:shd w:fill="FFFFFF"/>
            <w:tcMar>
              <w:top w:w="60" w:type="dxa"/>
              <w:bottom w:w="60" w:type="dxa"/>
              <w:left w:w="100" w:type="dxa"/>
              <w:right w:w="100" w:type="dxa"/>
            </w:tcMar>
          </w:tcPr>
          <w:p>
            <w:r>
              <w:rPr>
                <w:rFonts w:ascii="Arial" w:hAnsi="Arial"/>
                <w:color w:val="1C1917"/>
                <w:sz w:val="16"/>
              </w:rPr>
              <w:t>體積與安裝彈性</w:t>
            </w:r>
          </w:p>
        </w:tc>
        <w:tc>
          <w:tcPr>
            <w:tcW w:type="dxa" w:w="3456"/>
            <w:shd w:fill="FFFFFF"/>
            <w:tcMar>
              <w:top w:w="60" w:type="dxa"/>
              <w:bottom w:w="60" w:type="dxa"/>
              <w:left w:w="100" w:type="dxa"/>
              <w:right w:w="100" w:type="dxa"/>
            </w:tcMar>
          </w:tcPr>
          <w:p>
            <w:r>
              <w:rPr>
                <w:rFonts w:ascii="Arial" w:hAnsi="Arial"/>
                <w:color w:val="1C1917"/>
                <w:sz w:val="16"/>
              </w:rPr>
              <w:t>極致輕量化迷你機身 (Ultra-Compact)</w:t>
              <w:br/>
              <w:t>支援標準 VESA / DIN-Rail 導軌安裝</w:t>
            </w:r>
          </w:p>
        </w:tc>
        <w:tc>
          <w:tcPr>
            <w:tcW w:type="dxa" w:w="4320"/>
            <w:shd w:fill="FFFFFF"/>
            <w:tcMar>
              <w:top w:w="60" w:type="dxa"/>
              <w:bottom w:w="60" w:type="dxa"/>
              <w:left w:w="100" w:type="dxa"/>
              <w:right w:w="100" w:type="dxa"/>
            </w:tcMar>
          </w:tcPr>
          <w:p>
            <w:r>
              <w:rPr>
                <w:rFonts w:ascii="Arial" w:hAnsi="Arial"/>
                <w:color w:val="1C1917"/>
                <w:sz w:val="16"/>
              </w:rPr>
              <w:t>可直接鎖在車間機房壁面或吊掛線控制箱內，完全不佔用寶貴的車間走道與生產空間。</w:t>
            </w:r>
          </w:p>
        </w:tc>
      </w:tr>
      <w:tr>
        <w:tc>
          <w:tcPr>
            <w:tcW w:type="dxa" w:w="2592"/>
            <w:shd w:fill="FAFAF9"/>
            <w:tcMar>
              <w:top w:w="60" w:type="dxa"/>
              <w:bottom w:w="60" w:type="dxa"/>
              <w:left w:w="100" w:type="dxa"/>
              <w:right w:w="100" w:type="dxa"/>
            </w:tcMar>
          </w:tcPr>
          <w:p>
            <w:r>
              <w:rPr>
                <w:rFonts w:ascii="Arial" w:hAnsi="Arial"/>
                <w:color w:val="1C1917"/>
                <w:sz w:val="16"/>
              </w:rPr>
              <w:t>工業環境耐受度</w:t>
            </w:r>
          </w:p>
        </w:tc>
        <w:tc>
          <w:tcPr>
            <w:tcW w:type="dxa" w:w="3456"/>
            <w:shd w:fill="FAFAF9"/>
            <w:tcMar>
              <w:top w:w="60" w:type="dxa"/>
              <w:bottom w:w="60" w:type="dxa"/>
              <w:left w:w="100" w:type="dxa"/>
              <w:right w:w="100" w:type="dxa"/>
            </w:tcMar>
          </w:tcPr>
          <w:p>
            <w:r>
              <w:rPr>
                <w:rFonts w:ascii="Arial" w:hAnsi="Arial"/>
                <w:color w:val="1C1917"/>
                <w:sz w:val="16"/>
              </w:rPr>
              <w:t>強化散熱風道設計 ＋ 密閉防塵濾網</w:t>
              <w:br/>
              <w:t>支援寬溫運作環境 (0°C ~ 50°C)</w:t>
            </w:r>
          </w:p>
        </w:tc>
        <w:tc>
          <w:tcPr>
            <w:tcW w:type="dxa" w:w="4320"/>
            <w:shd w:fill="FAFAF9"/>
            <w:tcMar>
              <w:top w:w="60" w:type="dxa"/>
              <w:bottom w:w="60" w:type="dxa"/>
              <w:left w:w="100" w:type="dxa"/>
              <w:right w:w="100" w:type="dxa"/>
            </w:tcMar>
          </w:tcPr>
          <w:p>
            <w:r>
              <w:rPr>
                <w:rFonts w:ascii="Arial" w:hAnsi="Arial"/>
                <w:color w:val="1C1917"/>
                <w:sz w:val="16"/>
              </w:rPr>
              <w:t>有效抵禦成衣車間無可避免的『高溫、高濕與空氣中漂浮的布料棉絮粉塵』，杜絕風扇卡死短路。</w:t>
            </w:r>
          </w:p>
        </w:tc>
      </w:tr>
      <w:tr>
        <w:tc>
          <w:tcPr>
            <w:tcW w:type="dxa" w:w="2592"/>
            <w:shd w:fill="FFFFFF"/>
            <w:tcMar>
              <w:top w:w="60" w:type="dxa"/>
              <w:bottom w:w="60" w:type="dxa"/>
              <w:left w:w="100" w:type="dxa"/>
              <w:right w:w="100" w:type="dxa"/>
            </w:tcMar>
          </w:tcPr>
          <w:p>
            <w:r>
              <w:rPr>
                <w:rFonts w:ascii="Arial" w:hAnsi="Arial"/>
                <w:color w:val="1C1917"/>
                <w:sz w:val="16"/>
              </w:rPr>
              <w:t>邊緣 AI 推論算力</w:t>
            </w:r>
          </w:p>
        </w:tc>
        <w:tc>
          <w:tcPr>
            <w:tcW w:type="dxa" w:w="3456"/>
            <w:shd w:fill="FFFFFF"/>
            <w:tcMar>
              <w:top w:w="60" w:type="dxa"/>
              <w:bottom w:w="60" w:type="dxa"/>
              <w:left w:w="100" w:type="dxa"/>
              <w:right w:w="100" w:type="dxa"/>
            </w:tcMar>
          </w:tcPr>
          <w:p>
            <w:r>
              <w:rPr>
                <w:rFonts w:ascii="Arial" w:hAnsi="Arial"/>
                <w:color w:val="1C1917"/>
                <w:sz w:val="16"/>
              </w:rPr>
              <w:t>搭載專屬神經處理單元 (NPU / 邊緣 GPU)</w:t>
              <w:br/>
              <w:t>具備 30+ TOPS 局部 AI 運算力</w:t>
            </w:r>
          </w:p>
        </w:tc>
        <w:tc>
          <w:tcPr>
            <w:tcW w:type="dxa" w:w="4320"/>
            <w:shd w:fill="FFFFFF"/>
            <w:tcMar>
              <w:top w:w="60" w:type="dxa"/>
              <w:bottom w:w="60" w:type="dxa"/>
              <w:left w:w="100" w:type="dxa"/>
              <w:right w:w="100" w:type="dxa"/>
            </w:tcMar>
          </w:tcPr>
          <w:p>
            <w:r>
              <w:rPr>
                <w:rFonts w:ascii="Arial" w:hAnsi="Arial"/>
                <w:color w:val="1C1917"/>
                <w:sz w:val="16"/>
              </w:rPr>
              <w:t>能在本機毫秒級執行『訂單款式結構圖向量特徵比對』與『4-Gate 產前門禁推論』，無需依賴雲端。</w:t>
            </w:r>
          </w:p>
        </w:tc>
      </w:tr>
      <w:tr>
        <w:tc>
          <w:tcPr>
            <w:tcW w:type="dxa" w:w="2592"/>
            <w:shd w:fill="FAFAF9"/>
            <w:tcMar>
              <w:top w:w="60" w:type="dxa"/>
              <w:bottom w:w="60" w:type="dxa"/>
              <w:left w:w="100" w:type="dxa"/>
              <w:right w:w="100" w:type="dxa"/>
            </w:tcMar>
          </w:tcPr>
          <w:p>
            <w:r>
              <w:rPr>
                <w:rFonts w:ascii="Arial" w:hAnsi="Arial"/>
                <w:color w:val="1C1917"/>
                <w:sz w:val="16"/>
              </w:rPr>
              <w:t>採購與維護成本</w:t>
            </w:r>
          </w:p>
        </w:tc>
        <w:tc>
          <w:tcPr>
            <w:tcW w:type="dxa" w:w="3456"/>
            <w:shd w:fill="FAFAF9"/>
            <w:tcMar>
              <w:top w:w="60" w:type="dxa"/>
              <w:bottom w:w="60" w:type="dxa"/>
              <w:left w:w="100" w:type="dxa"/>
              <w:right w:w="100" w:type="dxa"/>
            </w:tcMar>
          </w:tcPr>
          <w:p>
            <w:r>
              <w:rPr>
                <w:rFonts w:ascii="Arial" w:hAnsi="Arial"/>
                <w:color w:val="1C1917"/>
                <w:sz w:val="16"/>
              </w:rPr>
              <w:t>單台採購成本僅約新台幣 6～10 萬元</w:t>
              <w:br/>
              <w:t>每廠配置 2~3 台，全廠合計僅數十萬</w:t>
            </w:r>
          </w:p>
        </w:tc>
        <w:tc>
          <w:tcPr>
            <w:tcW w:type="dxa" w:w="4320"/>
            <w:shd w:fill="FAFAF9"/>
            <w:tcMar>
              <w:top w:w="60" w:type="dxa"/>
              <w:bottom w:w="60" w:type="dxa"/>
              <w:left w:w="100" w:type="dxa"/>
              <w:right w:w="100" w:type="dxa"/>
            </w:tcMar>
          </w:tcPr>
          <w:p>
            <w:r>
              <w:rPr>
                <w:rFonts w:ascii="Arial" w:hAnsi="Arial"/>
                <w:color w:val="1C1917"/>
                <w:sz w:val="16"/>
              </w:rPr>
              <w:t>相較於傳統數百萬機架式伺服器，成本降低 80% 以上！性價比極高，壞掉可隨時模組化熱替換。</w:t>
            </w:r>
          </w:p>
        </w:tc>
      </w:tr>
    </w:tbl>
    <w:p>
      <w:pPr>
        <w:spacing w:after="80"/>
      </w:pPr>
    </w:p>
    <w:p>
      <w:r>
        <w:br w:type="page"/>
      </w:r>
    </w:p>
    <w:p>
      <w:pPr>
        <w:spacing w:before="160" w:after="80"/>
      </w:pPr>
      <w:r>
        <w:rPr>
          <w:rFonts w:ascii="Arial" w:hAnsi="Arial"/>
          <w:b/>
          <w:color w:val="D97706"/>
          <w:sz w:val="22"/>
        </w:rPr>
        <w:t xml:space="preserve">【第七章：邊緣韌性】 </w:t>
      </w:r>
      <w:r>
        <w:rPr>
          <w:rFonts w:ascii="Arial" w:hAnsi="Arial"/>
          <w:b/>
          <w:color w:val="A83212"/>
          <w:sz w:val="30"/>
        </w:rPr>
        <w:t>7.3 邊緣離線生產自治：48～72 小時連續運作架構設計</w:t>
      </w:r>
    </w:p>
    <w:p>
      <w:pPr>
        <w:spacing w:before="0" w:after="200"/>
      </w:pPr>
      <w:r>
        <w:rPr>
          <w:rFonts w:ascii="Arial" w:hAnsi="Arial"/>
          <w:i/>
          <w:color w:val="78716C"/>
          <w:sz w:val="19"/>
        </w:rPr>
        <w:t>Edge Survivability · 48 to 72 Hours Autonomous Manufacturing Protocol</w:t>
      </w:r>
    </w:p>
    <w:p>
      <w:pPr>
        <w:spacing w:before="0" w:after="120" w:line="276" w:lineRule="auto"/>
      </w:pPr>
      <w:r>
        <w:rPr>
          <w:rFonts w:ascii="Arial" w:hAnsi="Arial"/>
          <w:color w:val="1C1917"/>
          <w:sz w:val="19"/>
        </w:rPr>
        <w:t>第一階段顧問服務為信源海外廠確立了世界級的 **『48～72 小時邊緣離線自律協議（Edge Survivability Protocol）』**：</w:t>
      </w:r>
    </w:p>
    <w:p>
      <w:pPr>
        <w:pStyle w:val="ListBullet"/>
        <w:spacing w:before="0" w:after="60" w:line="269" w:lineRule="auto"/>
      </w:pPr>
      <w:r>
        <w:rPr>
          <w:rFonts w:ascii="Arial" w:hAnsi="Arial"/>
          <w:b/>
          <w:color w:val="1C1917"/>
          <w:sz w:val="18"/>
        </w:rPr>
        <w:t>1. 3 秒無感故障移轉 (Failover)：</w:t>
      </w:r>
      <w:r>
        <w:rPr>
          <w:rFonts w:ascii="Arial" w:hAnsi="Arial"/>
          <w:color w:val="1C1917"/>
          <w:sz w:val="18"/>
        </w:rPr>
        <w:t>當國際專線中斷時，邊緣主機（ASUS GX10）在 3 秒內自動判定網路失聯，將車間端點（裁床、吊掛線、品檢刷槍）無縫切換至『本地離線自律模式（Local Autonomous Mode）』，現場技工車縫完全無感、作業零中斷！</w:t>
      </w:r>
    </w:p>
    <w:p>
      <w:pPr>
        <w:pStyle w:val="ListBullet"/>
        <w:spacing w:before="0" w:after="60" w:line="269" w:lineRule="auto"/>
      </w:pPr>
      <w:r>
        <w:rPr>
          <w:rFonts w:ascii="Arial" w:hAnsi="Arial"/>
          <w:b/>
          <w:color w:val="1C1917"/>
          <w:sz w:val="18"/>
        </w:rPr>
        <w:t>2. 完整 7 天工單本地快取：</w:t>
      </w:r>
      <w:r>
        <w:rPr>
          <w:rFonts w:ascii="Arial" w:hAnsi="Arial"/>
          <w:color w:val="1C1917"/>
          <w:sz w:val="18"/>
        </w:rPr>
        <w:t>邊緣主機預先快取了未來 7 天之大貨工單 BOM 表、款式工藝要求與技工工序計件清單，在斷網期間依然能正常執行 4-Gate 產前防呆與工資計算，支持產線連續 48~72 小時不停擺。</w:t>
      </w:r>
    </w:p>
    <w:p>
      <w:pPr>
        <w:pStyle w:val="ListBullet"/>
        <w:spacing w:before="0" w:after="60" w:line="269" w:lineRule="auto"/>
      </w:pPr>
      <w:r>
        <w:rPr>
          <w:rFonts w:ascii="Arial" w:hAnsi="Arial"/>
          <w:b/>
          <w:color w:val="1C1917"/>
          <w:sz w:val="18"/>
        </w:rPr>
        <w:t>3. 本地高可靠資料佇列：</w:t>
      </w:r>
      <w:r>
        <w:rPr>
          <w:rFonts w:ascii="Arial" w:hAnsi="Arial"/>
          <w:color w:val="1C1917"/>
          <w:sz w:val="18"/>
        </w:rPr>
        <w:t>斷網期間產生的所有計件紀錄與品質檢驗數據，全數安全寫入本地輕量資料庫的預寫日誌（WAL）中，並具備防篡改校驗碼，杜絕任何一筆工人工資流失。</w:t>
      </w:r>
    </w:p>
    <w:p>
      <w:r>
        <w:br w:type="page"/>
      </w:r>
    </w:p>
    <w:p>
      <w:pPr>
        <w:spacing w:before="160" w:after="80"/>
      </w:pPr>
      <w:r>
        <w:rPr>
          <w:rFonts w:ascii="Arial" w:hAnsi="Arial"/>
          <w:b/>
          <w:color w:val="D97706"/>
          <w:sz w:val="22"/>
        </w:rPr>
        <w:t xml:space="preserve">【第七章：邊緣韌性】 </w:t>
      </w:r>
      <w:r>
        <w:rPr>
          <w:rFonts w:ascii="Arial" w:hAnsi="Arial"/>
          <w:b/>
          <w:color w:val="A83212"/>
          <w:sz w:val="30"/>
        </w:rPr>
        <w:t>7.4 邊緣本機輕量儲存（DuckDB / SQLite WAL）與推論引擎</w:t>
      </w:r>
    </w:p>
    <w:p>
      <w:pPr>
        <w:spacing w:before="0" w:after="200"/>
      </w:pPr>
      <w:r>
        <w:rPr>
          <w:rFonts w:ascii="Arial" w:hAnsi="Arial"/>
          <w:i/>
          <w:color w:val="78716C"/>
          <w:sz w:val="19"/>
        </w:rPr>
        <w:t>Lightweight Edge Storage Engine · Embedded DuckDB &amp; SQLite WAL Design</w:t>
      </w:r>
    </w:p>
    <w:p>
      <w:pPr>
        <w:spacing w:before="0" w:after="120" w:line="276" w:lineRule="auto"/>
      </w:pPr>
      <w:r>
        <w:rPr>
          <w:rFonts w:ascii="Arial" w:hAnsi="Arial"/>
          <w:color w:val="1C1917"/>
          <w:sz w:val="19"/>
        </w:rPr>
        <w:t>在邊緣小主機上運行笨重的大型關聯式資料庫（如 SQL Server 企業版）是不切實際的，會吃光記憶體。第一階段規範邊緣軟體棧採用現代超輕量架構：</w:t>
      </w:r>
    </w:p>
    <w:tbl>
      <w:tblPr>
        <w:tblW w:type="auto" w:w="0"/>
        <w:jc w:val="center"/>
        <w:tblLook w:firstColumn="1" w:firstRow="1" w:lastColumn="0" w:lastRow="0" w:noHBand="0" w:noVBand="1" w:val="04A0"/>
      </w:tblPr>
      <w:tblGrid>
        <w:gridCol w:w="3216"/>
        <w:gridCol w:w="3216"/>
        <w:gridCol w:w="3216"/>
      </w:tblGrid>
      <w:tr>
        <w:tc>
          <w:tcPr>
            <w:tcW w:type="dxa" w:w="2592"/>
            <w:shd w:fill="F5EFEB"/>
            <w:tcMar>
              <w:top w:w="80" w:type="dxa"/>
              <w:bottom w:w="80" w:type="dxa"/>
              <w:left w:w="100" w:type="dxa"/>
              <w:right w:w="100" w:type="dxa"/>
            </w:tcMar>
          </w:tcPr>
          <w:p>
            <w:r>
              <w:rPr>
                <w:rFonts w:ascii="Arial" w:hAnsi="Arial"/>
                <w:b/>
                <w:color w:val="A83212"/>
                <w:sz w:val="17"/>
              </w:rPr>
              <w:t>邊緣軟體層級</w:t>
            </w:r>
          </w:p>
        </w:tc>
        <w:tc>
          <w:tcPr>
            <w:tcW w:type="dxa" w:w="3168"/>
            <w:shd w:fill="F5EFEB"/>
            <w:tcMar>
              <w:top w:w="80" w:type="dxa"/>
              <w:bottom w:w="80" w:type="dxa"/>
              <w:left w:w="100" w:type="dxa"/>
              <w:right w:w="100" w:type="dxa"/>
            </w:tcMar>
          </w:tcPr>
          <w:p>
            <w:r>
              <w:rPr>
                <w:rFonts w:ascii="Arial" w:hAnsi="Arial"/>
                <w:b/>
                <w:color w:val="A83212"/>
                <w:sz w:val="17"/>
              </w:rPr>
              <w:t>推薦採用之輕量化開源組件</w:t>
            </w:r>
          </w:p>
        </w:tc>
        <w:tc>
          <w:tcPr>
            <w:tcW w:type="dxa" w:w="4608"/>
            <w:shd w:fill="F5EFEB"/>
            <w:tcMar>
              <w:top w:w="80" w:type="dxa"/>
              <w:bottom w:w="80" w:type="dxa"/>
              <w:left w:w="100" w:type="dxa"/>
              <w:right w:w="100" w:type="dxa"/>
            </w:tcMar>
          </w:tcPr>
          <w:p>
            <w:r>
              <w:rPr>
                <w:rFonts w:ascii="Arial" w:hAnsi="Arial"/>
                <w:b/>
                <w:color w:val="A83212"/>
                <w:sz w:val="17"/>
              </w:rPr>
              <w:t>在邊緣離線生產中承擔之核心任務</w:t>
            </w:r>
          </w:p>
        </w:tc>
      </w:tr>
      <w:tr>
        <w:tc>
          <w:tcPr>
            <w:tcW w:type="dxa" w:w="2592"/>
            <w:shd w:fill="FFFFFF"/>
            <w:tcMar>
              <w:top w:w="60" w:type="dxa"/>
              <w:bottom w:w="60" w:type="dxa"/>
              <w:left w:w="100" w:type="dxa"/>
              <w:right w:w="100" w:type="dxa"/>
            </w:tcMar>
          </w:tcPr>
          <w:p>
            <w:r>
              <w:rPr>
                <w:rFonts w:ascii="Arial" w:hAnsi="Arial"/>
                <w:color w:val="1C1917"/>
                <w:sz w:val="16"/>
              </w:rPr>
              <w:t>邊緣本地交易儲存</w:t>
              <w:br/>
              <w:t>(Local Transactional)</w:t>
            </w:r>
          </w:p>
        </w:tc>
        <w:tc>
          <w:tcPr>
            <w:tcW w:type="dxa" w:w="3168"/>
            <w:shd w:fill="FFFFFF"/>
            <w:tcMar>
              <w:top w:w="60" w:type="dxa"/>
              <w:bottom w:w="60" w:type="dxa"/>
              <w:left w:w="100" w:type="dxa"/>
              <w:right w:w="100" w:type="dxa"/>
            </w:tcMar>
          </w:tcPr>
          <w:p>
            <w:r>
              <w:rPr>
                <w:rFonts w:ascii="Arial" w:hAnsi="Arial"/>
                <w:color w:val="1C1917"/>
                <w:sz w:val="16"/>
              </w:rPr>
              <w:t>SQLite 3 搭配 WAL 模式</w:t>
              <w:br/>
              <w:t>(Write-Ahead Logging 預寫日誌)</w:t>
            </w:r>
          </w:p>
        </w:tc>
        <w:tc>
          <w:tcPr>
            <w:tcW w:type="dxa" w:w="4608"/>
            <w:shd w:fill="FFFFFF"/>
            <w:tcMar>
              <w:top w:w="60" w:type="dxa"/>
              <w:bottom w:w="60" w:type="dxa"/>
              <w:left w:w="100" w:type="dxa"/>
              <w:right w:w="100" w:type="dxa"/>
            </w:tcMar>
          </w:tcPr>
          <w:p>
            <w:r>
              <w:rPr>
                <w:rFonts w:ascii="Arial" w:hAnsi="Arial"/>
                <w:color w:val="1C1917"/>
                <w:sz w:val="16"/>
              </w:rPr>
              <w:t>零設定、超穩定嵌入式資料庫。每秒可承受數千次車間刷槍寫入，崩潰時 100% 自動復原無壞軌。</w:t>
            </w:r>
          </w:p>
        </w:tc>
      </w:tr>
      <w:tr>
        <w:tc>
          <w:tcPr>
            <w:tcW w:type="dxa" w:w="2592"/>
            <w:shd w:fill="FAFAF9"/>
            <w:tcMar>
              <w:top w:w="60" w:type="dxa"/>
              <w:bottom w:w="60" w:type="dxa"/>
              <w:left w:w="100" w:type="dxa"/>
              <w:right w:w="100" w:type="dxa"/>
            </w:tcMar>
          </w:tcPr>
          <w:p>
            <w:r>
              <w:rPr>
                <w:rFonts w:ascii="Arial" w:hAnsi="Arial"/>
                <w:color w:val="1C1917"/>
                <w:sz w:val="16"/>
              </w:rPr>
              <w:t>邊緣本地分析引擎</w:t>
              <w:br/>
              <w:t>(Local Embedded OLAP)</w:t>
            </w:r>
          </w:p>
        </w:tc>
        <w:tc>
          <w:tcPr>
            <w:tcW w:type="dxa" w:w="3168"/>
            <w:shd w:fill="FAFAF9"/>
            <w:tcMar>
              <w:top w:w="60" w:type="dxa"/>
              <w:bottom w:w="60" w:type="dxa"/>
              <w:left w:w="100" w:type="dxa"/>
              <w:right w:w="100" w:type="dxa"/>
            </w:tcMar>
          </w:tcPr>
          <w:p>
            <w:r>
              <w:rPr>
                <w:rFonts w:ascii="Arial" w:hAnsi="Arial"/>
                <w:color w:val="1C1917"/>
                <w:sz w:val="16"/>
              </w:rPr>
              <w:t>DuckDB (嵌入式列式分析引擎)</w:t>
              <w:br/>
              <w:t>以 Micro-Parquet 格式儲存</w:t>
            </w:r>
          </w:p>
        </w:tc>
        <w:tc>
          <w:tcPr>
            <w:tcW w:type="dxa" w:w="4608"/>
            <w:shd w:fill="FAFAF9"/>
            <w:tcMar>
              <w:top w:w="60" w:type="dxa"/>
              <w:bottom w:w="60" w:type="dxa"/>
              <w:left w:w="100" w:type="dxa"/>
              <w:right w:w="100" w:type="dxa"/>
            </w:tcMar>
          </w:tcPr>
          <w:p>
            <w:r>
              <w:rPr>
                <w:rFonts w:ascii="Arial" w:hAnsi="Arial"/>
                <w:color w:val="1C1917"/>
                <w:sz w:val="16"/>
              </w:rPr>
              <w:t>單檔案本機資料庫，極致低記憶體佔用。專門負責在本地計算工廠 48h 累積之計件差分與工序平衡。</w:t>
            </w:r>
          </w:p>
        </w:tc>
      </w:tr>
      <w:tr>
        <w:tc>
          <w:tcPr>
            <w:tcW w:type="dxa" w:w="2592"/>
            <w:shd w:fill="FFFFFF"/>
            <w:tcMar>
              <w:top w:w="60" w:type="dxa"/>
              <w:bottom w:w="60" w:type="dxa"/>
              <w:left w:w="100" w:type="dxa"/>
              <w:right w:w="100" w:type="dxa"/>
            </w:tcMar>
          </w:tcPr>
          <w:p>
            <w:r>
              <w:rPr>
                <w:rFonts w:ascii="Arial" w:hAnsi="Arial"/>
                <w:color w:val="1C1917"/>
                <w:sz w:val="16"/>
              </w:rPr>
              <w:t>邊緣代理反向代理</w:t>
              <w:br/>
              <w:t>(Edge Reverse Proxy)</w:t>
            </w:r>
          </w:p>
        </w:tc>
        <w:tc>
          <w:tcPr>
            <w:tcW w:type="dxa" w:w="3168"/>
            <w:shd w:fill="FFFFFF"/>
            <w:tcMar>
              <w:top w:w="60" w:type="dxa"/>
              <w:bottom w:w="60" w:type="dxa"/>
              <w:left w:w="100" w:type="dxa"/>
              <w:right w:w="100" w:type="dxa"/>
            </w:tcMar>
          </w:tcPr>
          <w:p>
            <w:r>
              <w:rPr>
                <w:rFonts w:ascii="Arial" w:hAnsi="Arial"/>
                <w:color w:val="1C1917"/>
                <w:sz w:val="16"/>
              </w:rPr>
              <w:t>Envoy Proxy (輕量化邊緣網關)</w:t>
              <w:br/>
              <w:t>運行於 Docker Alpine 容器內</w:t>
            </w:r>
          </w:p>
        </w:tc>
        <w:tc>
          <w:tcPr>
            <w:tcW w:type="dxa" w:w="4608"/>
            <w:shd w:fill="FFFFFF"/>
            <w:tcMar>
              <w:top w:w="60" w:type="dxa"/>
              <w:bottom w:w="60" w:type="dxa"/>
              <w:left w:w="100" w:type="dxa"/>
              <w:right w:w="100" w:type="dxa"/>
            </w:tcMar>
          </w:tcPr>
          <w:p>
            <w:r>
              <w:rPr>
                <w:rFonts w:ascii="Arial" w:hAnsi="Arial"/>
                <w:color w:val="1C1917"/>
                <w:sz w:val="16"/>
              </w:rPr>
              <w:t>負責攔截車間所有 HTTP 請求，具備健康檢查機制，網路通時透明轉發總部，斷網時直接打回本地。</w:t>
            </w:r>
          </w:p>
        </w:tc>
      </w:tr>
    </w:tbl>
    <w:p>
      <w:pPr>
        <w:spacing w:after="80"/>
      </w:pPr>
    </w:p>
    <w:p>
      <w:r>
        <w:br w:type="page"/>
      </w:r>
    </w:p>
    <w:p>
      <w:pPr>
        <w:spacing w:before="160" w:after="80"/>
      </w:pPr>
      <w:r>
        <w:rPr>
          <w:rFonts w:ascii="Arial" w:hAnsi="Arial"/>
          <w:b/>
          <w:color w:val="D97706"/>
          <w:sz w:val="22"/>
        </w:rPr>
        <w:t xml:space="preserve">【第七章：邊緣韌性】 </w:t>
      </w:r>
      <w:r>
        <w:rPr>
          <w:rFonts w:ascii="Arial" w:hAnsi="Arial"/>
          <w:b/>
          <w:color w:val="A83212"/>
          <w:sz w:val="30"/>
        </w:rPr>
        <w:t>7.5 Ready-to-Sew 4-Gate 產前剛性門禁哲學與業務價值</w:t>
      </w:r>
    </w:p>
    <w:p>
      <w:pPr>
        <w:spacing w:before="0" w:after="200"/>
      </w:pPr>
      <w:r>
        <w:rPr>
          <w:rFonts w:ascii="Arial" w:hAnsi="Arial"/>
          <w:i/>
          <w:color w:val="78716C"/>
          <w:sz w:val="19"/>
        </w:rPr>
        <w:t>Ready-to-Sew Philosophy · The 4-Gate Production Pre-flight Check</w:t>
      </w:r>
    </w:p>
    <w:p>
      <w:pPr>
        <w:spacing w:before="0" w:after="120" w:line="276" w:lineRule="auto"/>
      </w:pPr>
      <w:r>
        <w:rPr>
          <w:rFonts w:ascii="Arial" w:hAnsi="Arial"/>
          <w:color w:val="1C1917"/>
          <w:sz w:val="19"/>
        </w:rPr>
        <w:t>成衣製造界最昂貴的浪費，莫過於『大貨布料已經裁下去了，才發現特殊拉鍊缺貨、或者品牌客戶臨時修改口袋工藝』！這會導致整批半成品塞在車間走道，技工頻繁換線，生產效率跌至谷底。</w:t>
      </w:r>
    </w:p>
    <w:p>
      <w:pPr>
        <w:spacing w:before="0" w:after="120" w:line="276" w:lineRule="auto"/>
      </w:pPr>
      <w:r>
        <w:rPr>
          <w:rFonts w:ascii="Arial" w:hAnsi="Arial"/>
          <w:color w:val="1C1917"/>
          <w:sz w:val="19"/>
        </w:rPr>
        <w:t>第一階段正式確立了信源 **『Ready-to-Sew 4-Gate 產前剛性門禁哲學』**。如同民航機起飛前的 Checklist，任何大貨工單在上線開裁前，必須 100% 依序通過四道實體檢核門禁，只要任一門禁亮紅燈，邊緣主機系統**直接物理鎖死裁床與發料條碼**，嚴禁冒然投產！</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【品質門禁最高守則】</w:t>
              <w:br/>
            </w:r>
            <w:r>
              <w:rPr>
                <w:rFonts w:ascii="Arial" w:hAnsi="Arial"/>
                <w:color w:val="1C1917"/>
                <w:sz w:val="18"/>
              </w:rPr>
              <w:t>『寧可在產前把問題攔下來，絕不在產線上含淚重做。』4-Gate 門禁是信源從傳統靠運氣的粗放製造，邁向精準交付的世界級分水嶺。</w:t>
            </w:r>
          </w:p>
        </w:tc>
      </w:tr>
    </w:tbl>
    <w:p>
      <w:pPr>
        <w:spacing w:after="80"/>
      </w:pPr>
    </w:p>
    <w:p>
      <w:r>
        <w:br w:type="page"/>
      </w:r>
    </w:p>
    <w:p>
      <w:pPr>
        <w:spacing w:before="160" w:after="80"/>
      </w:pPr>
      <w:r>
        <w:rPr>
          <w:rFonts w:ascii="Arial" w:hAnsi="Arial"/>
          <w:b/>
          <w:color w:val="D97706"/>
          <w:sz w:val="22"/>
        </w:rPr>
        <w:t xml:space="preserve">【第七章：邊緣韌性】 </w:t>
      </w:r>
      <w:r>
        <w:rPr>
          <w:rFonts w:ascii="Arial" w:hAnsi="Arial"/>
          <w:b/>
          <w:color w:val="A83212"/>
          <w:sz w:val="30"/>
        </w:rPr>
        <w:t>7.6 Gate 1：物料齊套核決矩陣（BOM 齊套率與缺料預警）</w:t>
      </w:r>
    </w:p>
    <w:p>
      <w:pPr>
        <w:spacing w:before="0" w:after="200"/>
      </w:pPr>
      <w:r>
        <w:rPr>
          <w:rFonts w:ascii="Arial" w:hAnsi="Arial"/>
          <w:i/>
          <w:color w:val="78716C"/>
          <w:sz w:val="19"/>
        </w:rPr>
        <w:t>Gate 1 · Material Kit Readiness &amp; Pre-Cut Automated Shortage Alert</w:t>
      </w:r>
    </w:p>
    <w:p>
      <w:pPr>
        <w:spacing w:before="0" w:after="120" w:line="276" w:lineRule="auto"/>
      </w:pPr>
      <w:r>
        <w:rPr>
          <w:rFonts w:ascii="Arial" w:hAnsi="Arial"/>
          <w:color w:val="1C1917"/>
          <w:sz w:val="19"/>
        </w:rPr>
        <w:t>Gate 1 是產前門禁的第一道剛性感測器，專門把關『生產主料、副料、特殊輔料之實體齊套狀態』：</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檢核要素</w:t>
            </w:r>
          </w:p>
        </w:tc>
        <w:tc>
          <w:tcPr>
            <w:tcW w:type="dxa" w:w="3168"/>
            <w:shd w:fill="F5EFEB"/>
            <w:tcMar>
              <w:top w:w="80" w:type="dxa"/>
              <w:bottom w:w="80" w:type="dxa"/>
              <w:left w:w="100" w:type="dxa"/>
              <w:right w:w="100" w:type="dxa"/>
            </w:tcMar>
          </w:tcPr>
          <w:p>
            <w:r>
              <w:rPr>
                <w:rFonts w:ascii="Arial" w:hAnsi="Arial"/>
                <w:b/>
                <w:color w:val="A83212"/>
                <w:sz w:val="17"/>
              </w:rPr>
              <w:t>系統驗證標準與門檻 (Validation Rules)</w:t>
            </w:r>
          </w:p>
        </w:tc>
        <w:tc>
          <w:tcPr>
            <w:tcW w:type="dxa" w:w="2592"/>
            <w:shd w:fill="F5EFEB"/>
            <w:tcMar>
              <w:top w:w="80" w:type="dxa"/>
              <w:bottom w:w="80" w:type="dxa"/>
              <w:left w:w="100" w:type="dxa"/>
              <w:right w:w="100" w:type="dxa"/>
            </w:tcMar>
          </w:tcPr>
          <w:p>
            <w:r>
              <w:rPr>
                <w:rFonts w:ascii="Arial" w:hAnsi="Arial"/>
                <w:b/>
                <w:color w:val="A83212"/>
                <w:sz w:val="17"/>
              </w:rPr>
              <w:t>數據來源與勾稽系統</w:t>
            </w:r>
          </w:p>
        </w:tc>
        <w:tc>
          <w:tcPr>
            <w:tcW w:type="dxa" w:w="2016"/>
            <w:shd w:fill="F5EFEB"/>
            <w:tcMar>
              <w:top w:w="80" w:type="dxa"/>
              <w:bottom w:w="80" w:type="dxa"/>
              <w:left w:w="100" w:type="dxa"/>
              <w:right w:w="100" w:type="dxa"/>
            </w:tcMar>
          </w:tcPr>
          <w:p>
            <w:r>
              <w:rPr>
                <w:rFonts w:ascii="Arial" w:hAnsi="Arial"/>
                <w:b/>
                <w:color w:val="A83212"/>
                <w:sz w:val="17"/>
              </w:rPr>
              <w:t>未達標之強制閉環處置</w:t>
            </w:r>
          </w:p>
        </w:tc>
      </w:tr>
      <w:tr>
        <w:tc>
          <w:tcPr>
            <w:tcW w:type="dxa" w:w="2592"/>
            <w:shd w:fill="FFFFFF"/>
            <w:tcMar>
              <w:top w:w="60" w:type="dxa"/>
              <w:bottom w:w="60" w:type="dxa"/>
              <w:left w:w="100" w:type="dxa"/>
              <w:right w:w="100" w:type="dxa"/>
            </w:tcMar>
          </w:tcPr>
          <w:p>
            <w:r>
              <w:rPr>
                <w:rFonts w:ascii="Arial" w:hAnsi="Arial"/>
                <w:color w:val="1C1917"/>
                <w:sz w:val="16"/>
              </w:rPr>
              <w:t>主料到庫與檢驗</w:t>
              <w:br/>
              <w:t>(Main Fabrics)</w:t>
            </w:r>
          </w:p>
        </w:tc>
        <w:tc>
          <w:tcPr>
            <w:tcW w:type="dxa" w:w="3168"/>
            <w:shd w:fill="FFFFFF"/>
            <w:tcMar>
              <w:top w:w="60" w:type="dxa"/>
              <w:bottom w:w="60" w:type="dxa"/>
              <w:left w:w="100" w:type="dxa"/>
              <w:right w:w="100" w:type="dxa"/>
            </w:tcMar>
          </w:tcPr>
          <w:p>
            <w:r>
              <w:rPr>
                <w:rFonts w:ascii="Arial" w:hAnsi="Arial"/>
                <w:color w:val="1C1917"/>
                <w:sz w:val="16"/>
              </w:rPr>
              <w:t>大貨布料 100% 入庫，且實驗室四分制檢驗報告合格率 &gt; 98%，縮水率測試完成。</w:t>
            </w:r>
          </w:p>
        </w:tc>
        <w:tc>
          <w:tcPr>
            <w:tcW w:type="dxa" w:w="2592"/>
            <w:shd w:fill="FFFFFF"/>
            <w:tcMar>
              <w:top w:w="60" w:type="dxa"/>
              <w:bottom w:w="60" w:type="dxa"/>
              <w:left w:w="100" w:type="dxa"/>
              <w:right w:w="100" w:type="dxa"/>
            </w:tcMar>
          </w:tcPr>
          <w:p>
            <w:r>
              <w:rPr>
                <w:rFonts w:ascii="Arial" w:hAnsi="Arial"/>
                <w:color w:val="1C1917"/>
                <w:sz w:val="16"/>
              </w:rPr>
              <w:t>WMS 倉儲系統 ＋</w:t>
              <w:br/>
              <w:t>實驗室檢驗模組</w:t>
            </w:r>
          </w:p>
        </w:tc>
        <w:tc>
          <w:tcPr>
            <w:tcW w:type="dxa" w:w="2016"/>
            <w:shd w:fill="FFFFFF"/>
            <w:tcMar>
              <w:top w:w="60" w:type="dxa"/>
              <w:bottom w:w="60" w:type="dxa"/>
              <w:left w:w="100" w:type="dxa"/>
              <w:right w:w="100" w:type="dxa"/>
            </w:tcMar>
          </w:tcPr>
          <w:p>
            <w:r>
              <w:rPr>
                <w:rFonts w:ascii="Arial" w:hAnsi="Arial"/>
                <w:color w:val="1C1917"/>
                <w:sz w:val="16"/>
              </w:rPr>
              <w:t>★ 紅燈硬性鎖定：若布料檢驗未合格，系統禁止生成裁床領料單。</w:t>
            </w:r>
          </w:p>
        </w:tc>
      </w:tr>
      <w:tr>
        <w:tc>
          <w:tcPr>
            <w:tcW w:type="dxa" w:w="2592"/>
            <w:shd w:fill="FAFAF9"/>
            <w:tcMar>
              <w:top w:w="60" w:type="dxa"/>
              <w:bottom w:w="60" w:type="dxa"/>
              <w:left w:w="100" w:type="dxa"/>
              <w:right w:w="100" w:type="dxa"/>
            </w:tcMar>
          </w:tcPr>
          <w:p>
            <w:r>
              <w:rPr>
                <w:rFonts w:ascii="Arial" w:hAnsi="Arial"/>
                <w:color w:val="1C1917"/>
                <w:sz w:val="16"/>
              </w:rPr>
              <w:t>關鍵輔料齊套</w:t>
              <w:br/>
              <w:t>(Critical Trims)</w:t>
            </w:r>
          </w:p>
        </w:tc>
        <w:tc>
          <w:tcPr>
            <w:tcW w:type="dxa" w:w="3168"/>
            <w:shd w:fill="FAFAF9"/>
            <w:tcMar>
              <w:top w:w="60" w:type="dxa"/>
              <w:bottom w:w="60" w:type="dxa"/>
              <w:left w:w="100" w:type="dxa"/>
              <w:right w:w="100" w:type="dxa"/>
            </w:tcMar>
          </w:tcPr>
          <w:p>
            <w:r>
              <w:rPr>
                <w:rFonts w:ascii="Arial" w:hAnsi="Arial"/>
                <w:color w:val="1C1917"/>
                <w:sz w:val="16"/>
              </w:rPr>
              <w:t>縫紉線、拉鍊、特規四合扣、主標、洗標之齊套率達到 100%，無任何短缺。</w:t>
            </w:r>
          </w:p>
        </w:tc>
        <w:tc>
          <w:tcPr>
            <w:tcW w:type="dxa" w:w="2592"/>
            <w:shd w:fill="FAFAF9"/>
            <w:tcMar>
              <w:top w:w="60" w:type="dxa"/>
              <w:bottom w:w="60" w:type="dxa"/>
              <w:left w:w="100" w:type="dxa"/>
              <w:right w:w="100" w:type="dxa"/>
            </w:tcMar>
          </w:tcPr>
          <w:p>
            <w:r>
              <w:rPr>
                <w:rFonts w:ascii="Arial" w:hAnsi="Arial"/>
                <w:color w:val="1C1917"/>
                <w:sz w:val="16"/>
              </w:rPr>
              <w:t>D365 採購收料單 ＋</w:t>
              <w:br/>
              <w:t>WMS 庫存盤點表</w:t>
            </w:r>
          </w:p>
        </w:tc>
        <w:tc>
          <w:tcPr>
            <w:tcW w:type="dxa" w:w="2016"/>
            <w:shd w:fill="FAFAF9"/>
            <w:tcMar>
              <w:top w:w="60" w:type="dxa"/>
              <w:bottom w:w="60" w:type="dxa"/>
              <w:left w:w="100" w:type="dxa"/>
              <w:right w:w="100" w:type="dxa"/>
            </w:tcMar>
          </w:tcPr>
          <w:p>
            <w:r>
              <w:rPr>
                <w:rFonts w:ascii="Arial" w:hAnsi="Arial"/>
                <w:color w:val="1C1917"/>
                <w:sz w:val="16"/>
              </w:rPr>
              <w:t>★ 紅燈硬性鎖定：若短缺特殊做工輔料，自動推播採購追料，工單順延排產。</w:t>
            </w:r>
          </w:p>
        </w:tc>
      </w:tr>
      <w:tr>
        <w:tc>
          <w:tcPr>
            <w:tcW w:type="dxa" w:w="2592"/>
            <w:shd w:fill="FFFFFF"/>
            <w:tcMar>
              <w:top w:w="60" w:type="dxa"/>
              <w:bottom w:w="60" w:type="dxa"/>
              <w:left w:w="100" w:type="dxa"/>
              <w:right w:w="100" w:type="dxa"/>
            </w:tcMar>
          </w:tcPr>
          <w:p>
            <w:r>
              <w:rPr>
                <w:rFonts w:ascii="Arial" w:hAnsi="Arial"/>
                <w:color w:val="1C1917"/>
                <w:sz w:val="16"/>
              </w:rPr>
              <w:t>線裝特工確認</w:t>
              <w:br/>
              <w:t>(Special Attachments)</w:t>
            </w:r>
          </w:p>
        </w:tc>
        <w:tc>
          <w:tcPr>
            <w:tcW w:type="dxa" w:w="3168"/>
            <w:shd w:fill="FFFFFF"/>
            <w:tcMar>
              <w:top w:w="60" w:type="dxa"/>
              <w:bottom w:w="60" w:type="dxa"/>
              <w:left w:w="100" w:type="dxa"/>
              <w:right w:w="100" w:type="dxa"/>
            </w:tcMar>
          </w:tcPr>
          <w:p>
            <w:r>
              <w:rPr>
                <w:rFonts w:ascii="Arial" w:hAnsi="Arial"/>
                <w:color w:val="1C1917"/>
                <w:sz w:val="16"/>
              </w:rPr>
              <w:t>該款式所需之特殊壓腳、特種車縫模具與輔具確認在庫保養就緒。</w:t>
            </w:r>
          </w:p>
        </w:tc>
        <w:tc>
          <w:tcPr>
            <w:tcW w:type="dxa" w:w="2592"/>
            <w:shd w:fill="FFFFFF"/>
            <w:tcMar>
              <w:top w:w="60" w:type="dxa"/>
              <w:bottom w:w="60" w:type="dxa"/>
              <w:left w:w="100" w:type="dxa"/>
              <w:right w:w="100" w:type="dxa"/>
            </w:tcMar>
          </w:tcPr>
          <w:p>
            <w:r>
              <w:rPr>
                <w:rFonts w:ascii="Arial" w:hAnsi="Arial"/>
                <w:color w:val="1C1917"/>
                <w:sz w:val="16"/>
              </w:rPr>
              <w:t>IE 設備維護庫 ＋</w:t>
              <w:br/>
              <w:t>模具房條碼系統</w:t>
            </w:r>
          </w:p>
        </w:tc>
        <w:tc>
          <w:tcPr>
            <w:tcW w:type="dxa" w:w="2016"/>
            <w:shd w:fill="FFFFFF"/>
            <w:tcMar>
              <w:top w:w="60" w:type="dxa"/>
              <w:bottom w:w="60" w:type="dxa"/>
              <w:left w:w="100" w:type="dxa"/>
              <w:right w:w="100" w:type="dxa"/>
            </w:tcMar>
          </w:tcPr>
          <w:p>
            <w:r>
              <w:rPr>
                <w:rFonts w:ascii="Arial" w:hAnsi="Arial"/>
                <w:color w:val="1C1917"/>
                <w:sz w:val="16"/>
              </w:rPr>
              <w:t>若模具未到位，通知機修組長 2 小時內完成調校，否則凍結工單。</w:t>
            </w:r>
          </w:p>
        </w:tc>
      </w:tr>
    </w:tbl>
    <w:p>
      <w:pPr>
        <w:spacing w:after="80"/>
      </w:pPr>
    </w:p>
    <w:p>
      <w:r>
        <w:br w:type="page"/>
      </w:r>
    </w:p>
    <w:p>
      <w:pPr>
        <w:spacing w:before="160" w:after="80"/>
      </w:pPr>
      <w:r>
        <w:rPr>
          <w:rFonts w:ascii="Arial" w:hAnsi="Arial"/>
          <w:b/>
          <w:color w:val="D97706"/>
          <w:sz w:val="22"/>
        </w:rPr>
        <w:t xml:space="preserve">【第七章：邊緣韌性】 </w:t>
      </w:r>
      <w:r>
        <w:rPr>
          <w:rFonts w:ascii="Arial" w:hAnsi="Arial"/>
          <w:b/>
          <w:color w:val="A83212"/>
          <w:sz w:val="30"/>
        </w:rPr>
        <w:t>7.7 Gate 2 ＆ Gate 3：紙樣產前封樣與 MQP 品質異常改善閉環</w:t>
      </w:r>
    </w:p>
    <w:p>
      <w:pPr>
        <w:spacing w:before="0" w:after="200"/>
      </w:pPr>
      <w:r>
        <w:rPr>
          <w:rFonts w:ascii="Arial" w:hAnsi="Arial"/>
          <w:i/>
          <w:color w:val="78716C"/>
          <w:sz w:val="19"/>
        </w:rPr>
        <w:t>Gate 2 &amp; 3 · Pre-Production Pattern Approval &amp; MQP Corrective Loop</w:t>
      </w:r>
    </w:p>
    <w:p>
      <w:pPr>
        <w:spacing w:before="0" w:after="120" w:line="276" w:lineRule="auto"/>
      </w:pPr>
      <w:r>
        <w:rPr>
          <w:rFonts w:ascii="Arial" w:hAnsi="Arial"/>
          <w:color w:val="1C1917"/>
          <w:sz w:val="19"/>
        </w:rPr>
        <w:t>Gate 2 專注於『工藝結構與紙樣封樣』，Gate 3 專注於『製造品質先期預警（MQP）』，兩者構成技術與品質的雙重絞鏈：</w:t>
      </w:r>
    </w:p>
    <w:p>
      <w:pPr>
        <w:pStyle w:val="ListBullet"/>
        <w:spacing w:before="0" w:after="60" w:line="269" w:lineRule="auto"/>
      </w:pPr>
      <w:r>
        <w:rPr>
          <w:rFonts w:ascii="Arial" w:hAnsi="Arial"/>
          <w:b/>
          <w:color w:val="1C1917"/>
          <w:sz w:val="18"/>
        </w:rPr>
        <w:t>Gate 2 · 紙樣與款式結構圖封樣 (Pattern Finalization)：</w:t>
      </w:r>
      <w:r>
        <w:rPr>
          <w:rFonts w:ascii="Arial" w:hAnsi="Arial"/>
          <w:color w:val="1C1917"/>
          <w:sz w:val="18"/>
        </w:rPr>
        <w:t>產前樣（Pre-Production Sample / PP Sample）必須經品牌買家（Buyer）正式電子簽名 Approved。技術部資深版師必須比對最新版 Tech Pack，確認『訂單款式結構圖』之口袋位置、車縫針距與做工公差無誤，於系統上傳封樣核可書。</w:t>
      </w:r>
    </w:p>
    <w:p>
      <w:pPr>
        <w:pStyle w:val="ListBullet"/>
        <w:spacing w:before="0" w:after="60" w:line="269" w:lineRule="auto"/>
      </w:pPr>
      <w:r>
        <w:rPr>
          <w:rFonts w:ascii="Arial" w:hAnsi="Arial"/>
          <w:b/>
          <w:color w:val="1C1917"/>
          <w:sz w:val="18"/>
        </w:rPr>
        <w:t>Gate 3 · MQP 製造品質先期預警改善閉環：</w:t>
      </w:r>
      <w:r>
        <w:rPr>
          <w:rFonts w:ascii="Arial" w:hAnsi="Arial"/>
          <w:color w:val="1C1917"/>
          <w:sz w:val="18"/>
        </w:rPr>
        <w:t>全面調閱該款式過去在試產或歷史相似訂單中的品質異常紀錄（Manufacturing Quality Plan, MQP）。對高風險特殊工位（如無縫熱貼合、防水壓膠、多層曲折骨）制定專屬防呆 SOP，車間組長與品管主管必須雙簽確認改善對策落實。</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【技術防呆價值】</w:t>
              <w:br/>
            </w:r>
            <w:r>
              <w:rPr>
                <w:rFonts w:ascii="Arial" w:hAnsi="Arial"/>
                <w:color w:val="1C1917"/>
                <w:sz w:val="18"/>
              </w:rPr>
              <w:t>過去 70% 的客訴瑕疵皆源於『紙樣版本拿錯、或是試產發現的毛病大貨又犯一次』。Gate 2 ＋ 3 強制在系統中建立防呆鎖，徹底切斷人為疏漏。</w:t>
            </w:r>
          </w:p>
        </w:tc>
      </w:tr>
    </w:tbl>
    <w:p>
      <w:pPr>
        <w:spacing w:after="80"/>
      </w:pPr>
    </w:p>
    <w:p>
      <w:r>
        <w:br w:type="page"/>
      </w:r>
    </w:p>
    <w:p>
      <w:pPr>
        <w:spacing w:before="160" w:after="80"/>
      </w:pPr>
      <w:r>
        <w:rPr>
          <w:rFonts w:ascii="Arial" w:hAnsi="Arial"/>
          <w:b/>
          <w:color w:val="D97706"/>
          <w:sz w:val="22"/>
        </w:rPr>
        <w:t xml:space="preserve">【第七章：邊緣韌性】 </w:t>
      </w:r>
      <w:r>
        <w:rPr>
          <w:rFonts w:ascii="Arial" w:hAnsi="Arial"/>
          <w:b/>
          <w:color w:val="A83212"/>
          <w:sz w:val="30"/>
        </w:rPr>
        <w:t>7.8 Gate 4：裁片超市特工齊套與車縫上線放行鎖定</w:t>
      </w:r>
    </w:p>
    <w:p>
      <w:pPr>
        <w:spacing w:before="0" w:after="200"/>
      </w:pPr>
      <w:r>
        <w:rPr>
          <w:rFonts w:ascii="Arial" w:hAnsi="Arial"/>
          <w:i/>
          <w:color w:val="78716C"/>
          <w:sz w:val="19"/>
        </w:rPr>
        <w:t>Gate 4 · Cut-Bundle Supermarket Kitting &amp; Sewing Line Release Gate</w:t>
      </w:r>
    </w:p>
    <w:p>
      <w:pPr>
        <w:spacing w:before="0" w:after="120" w:line="276" w:lineRule="auto"/>
      </w:pPr>
      <w:r>
        <w:rPr>
          <w:rFonts w:ascii="Arial" w:hAnsi="Arial"/>
          <w:color w:val="1C1917"/>
          <w:sz w:val="19"/>
        </w:rPr>
        <w:t>Gate 4 是大貨進入車縫組裝前的最後一道終極實體關卡，位於『裁片超市（Cut-Piece Supermarket）』：</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Gate 4 檢核維度</w:t>
            </w:r>
          </w:p>
        </w:tc>
        <w:tc>
          <w:tcPr>
            <w:tcW w:type="dxa" w:w="3168"/>
            <w:shd w:fill="F5EFEB"/>
            <w:tcMar>
              <w:top w:w="80" w:type="dxa"/>
              <w:bottom w:w="80" w:type="dxa"/>
              <w:left w:w="100" w:type="dxa"/>
              <w:right w:w="100" w:type="dxa"/>
            </w:tcMar>
          </w:tcPr>
          <w:p>
            <w:r>
              <w:rPr>
                <w:rFonts w:ascii="Arial" w:hAnsi="Arial"/>
                <w:b/>
                <w:color w:val="A83212"/>
                <w:sz w:val="17"/>
              </w:rPr>
              <w:t>車間實體作業與掃描標準</w:t>
            </w:r>
          </w:p>
        </w:tc>
        <w:tc>
          <w:tcPr>
            <w:tcW w:type="dxa" w:w="2592"/>
            <w:shd w:fill="F5EFEB"/>
            <w:tcMar>
              <w:top w:w="80" w:type="dxa"/>
              <w:bottom w:w="80" w:type="dxa"/>
              <w:left w:w="100" w:type="dxa"/>
              <w:right w:w="100" w:type="dxa"/>
            </w:tcMar>
          </w:tcPr>
          <w:p>
            <w:r>
              <w:rPr>
                <w:rFonts w:ascii="Arial" w:hAnsi="Arial"/>
                <w:b/>
                <w:color w:val="A83212"/>
                <w:sz w:val="17"/>
              </w:rPr>
              <w:t>系統聯鎖與放行機制</w:t>
            </w:r>
          </w:p>
        </w:tc>
        <w:tc>
          <w:tcPr>
            <w:tcW w:type="dxa" w:w="2016"/>
            <w:shd w:fill="F5EFEB"/>
            <w:tcMar>
              <w:top w:w="80" w:type="dxa"/>
              <w:bottom w:w="80" w:type="dxa"/>
              <w:left w:w="100" w:type="dxa"/>
              <w:right w:w="100" w:type="dxa"/>
            </w:tcMar>
          </w:tcPr>
          <w:p>
            <w:r>
              <w:rPr>
                <w:rFonts w:ascii="Arial" w:hAnsi="Arial"/>
                <w:b/>
                <w:color w:val="A83212"/>
                <w:sz w:val="17"/>
              </w:rPr>
              <w:t>異常處置流程</w:t>
            </w:r>
          </w:p>
        </w:tc>
      </w:tr>
      <w:tr>
        <w:tc>
          <w:tcPr>
            <w:tcW w:type="dxa" w:w="2592"/>
            <w:shd w:fill="FFFFFF"/>
            <w:tcMar>
              <w:top w:w="60" w:type="dxa"/>
              <w:bottom w:w="60" w:type="dxa"/>
              <w:left w:w="100" w:type="dxa"/>
              <w:right w:w="100" w:type="dxa"/>
            </w:tcMar>
          </w:tcPr>
          <w:p>
            <w:r>
              <w:rPr>
                <w:rFonts w:ascii="Arial" w:hAnsi="Arial"/>
                <w:color w:val="1C1917"/>
                <w:sz w:val="16"/>
              </w:rPr>
              <w:t>裁片條碼與色差檢驗</w:t>
              <w:br/>
              <w:t>(Shade &amp; Bundle)</w:t>
            </w:r>
          </w:p>
        </w:tc>
        <w:tc>
          <w:tcPr>
            <w:tcW w:type="dxa" w:w="3168"/>
            <w:shd w:fill="FFFFFF"/>
            <w:tcMar>
              <w:top w:w="60" w:type="dxa"/>
              <w:bottom w:w="60" w:type="dxa"/>
              <w:left w:w="100" w:type="dxa"/>
              <w:right w:w="100" w:type="dxa"/>
            </w:tcMar>
          </w:tcPr>
          <w:p>
            <w:r>
              <w:rPr>
                <w:rFonts w:ascii="Arial" w:hAnsi="Arial"/>
                <w:color w:val="1C1917"/>
                <w:sz w:val="16"/>
              </w:rPr>
              <w:t>大貨裁片經驗布機掃描，確認同捆裁片無陰陽色、無抽紗，條碼標籤 100% 貼附。</w:t>
            </w:r>
          </w:p>
        </w:tc>
        <w:tc>
          <w:tcPr>
            <w:tcW w:type="dxa" w:w="2592"/>
            <w:shd w:fill="FFFFFF"/>
            <w:tcMar>
              <w:top w:w="60" w:type="dxa"/>
              <w:bottom w:w="60" w:type="dxa"/>
              <w:left w:w="100" w:type="dxa"/>
              <w:right w:w="100" w:type="dxa"/>
            </w:tcMar>
          </w:tcPr>
          <w:p>
            <w:r>
              <w:rPr>
                <w:rFonts w:ascii="Arial" w:hAnsi="Arial"/>
                <w:color w:val="1C1917"/>
                <w:sz w:val="16"/>
              </w:rPr>
              <w:t>邊緣主機掃描槍刷碼驗證，</w:t>
              <w:br/>
              <w:t>核對裁片包號與工單數量。</w:t>
            </w:r>
          </w:p>
        </w:tc>
        <w:tc>
          <w:tcPr>
            <w:tcW w:type="dxa" w:w="2016"/>
            <w:shd w:fill="FFFFFF"/>
            <w:tcMar>
              <w:top w:w="60" w:type="dxa"/>
              <w:bottom w:w="60" w:type="dxa"/>
              <w:left w:w="100" w:type="dxa"/>
              <w:right w:w="100" w:type="dxa"/>
            </w:tcMar>
          </w:tcPr>
          <w:p>
            <w:r>
              <w:rPr>
                <w:rFonts w:ascii="Arial" w:hAnsi="Arial"/>
                <w:color w:val="1C1917"/>
                <w:sz w:val="16"/>
              </w:rPr>
              <w:t>色差超標之裁片包直接貼紅標剔除，</w:t>
              <w:br/>
              <w:t>通知裁剪課即刻補裁。</w:t>
            </w:r>
          </w:p>
        </w:tc>
      </w:tr>
      <w:tr>
        <w:tc>
          <w:tcPr>
            <w:tcW w:type="dxa" w:w="2592"/>
            <w:shd w:fill="FAFAF9"/>
            <w:tcMar>
              <w:top w:w="60" w:type="dxa"/>
              <w:bottom w:w="60" w:type="dxa"/>
              <w:left w:w="100" w:type="dxa"/>
              <w:right w:w="100" w:type="dxa"/>
            </w:tcMar>
          </w:tcPr>
          <w:p>
            <w:r>
              <w:rPr>
                <w:rFonts w:ascii="Arial" w:hAnsi="Arial"/>
                <w:color w:val="1C1917"/>
                <w:sz w:val="16"/>
              </w:rPr>
              <w:t>黏襯與特工預製</w:t>
              <w:br/>
              <w:t>(Fusing &amp; Pre-sewing)</w:t>
            </w:r>
          </w:p>
        </w:tc>
        <w:tc>
          <w:tcPr>
            <w:tcW w:type="dxa" w:w="3168"/>
            <w:shd w:fill="FAFAF9"/>
            <w:tcMar>
              <w:top w:w="60" w:type="dxa"/>
              <w:bottom w:w="60" w:type="dxa"/>
              <w:left w:w="100" w:type="dxa"/>
              <w:right w:w="100" w:type="dxa"/>
            </w:tcMar>
          </w:tcPr>
          <w:p>
            <w:r>
              <w:rPr>
                <w:rFonts w:ascii="Arial" w:hAnsi="Arial"/>
                <w:color w:val="1C1917"/>
                <w:sz w:val="16"/>
              </w:rPr>
              <w:t>領片、袋蓋等需要高溫黏襯之部件，完成黏襯剝離強度測試並齊套裝箱。</w:t>
            </w:r>
          </w:p>
        </w:tc>
        <w:tc>
          <w:tcPr>
            <w:tcW w:type="dxa" w:w="2592"/>
            <w:shd w:fill="FAFAF9"/>
            <w:tcMar>
              <w:top w:w="60" w:type="dxa"/>
              <w:bottom w:w="60" w:type="dxa"/>
              <w:left w:w="100" w:type="dxa"/>
              <w:right w:w="100" w:type="dxa"/>
            </w:tcMar>
          </w:tcPr>
          <w:p>
            <w:r>
              <w:rPr>
                <w:rFonts w:ascii="Arial" w:hAnsi="Arial"/>
                <w:color w:val="1C1917"/>
                <w:sz w:val="16"/>
              </w:rPr>
              <w:t>核驗特工預製完成標籤，</w:t>
              <w:br/>
              <w:t>確認配套完整無遺漏。</w:t>
            </w:r>
          </w:p>
        </w:tc>
        <w:tc>
          <w:tcPr>
            <w:tcW w:type="dxa" w:w="2016"/>
            <w:shd w:fill="FAFAF9"/>
            <w:tcMar>
              <w:top w:w="60" w:type="dxa"/>
              <w:bottom w:w="60" w:type="dxa"/>
              <w:left w:w="100" w:type="dxa"/>
              <w:right w:w="100" w:type="dxa"/>
            </w:tcMar>
          </w:tcPr>
          <w:p>
            <w:r>
              <w:rPr>
                <w:rFonts w:ascii="Arial" w:hAnsi="Arial"/>
                <w:color w:val="1C1917"/>
                <w:sz w:val="16"/>
              </w:rPr>
              <w:t>未黏襯裁片禁止出庫進入車縫線。</w:t>
            </w:r>
          </w:p>
        </w:tc>
      </w:tr>
      <w:tr>
        <w:tc>
          <w:tcPr>
            <w:tcW w:type="dxa" w:w="2592"/>
            <w:shd w:fill="FFFFFF"/>
            <w:tcMar>
              <w:top w:w="60" w:type="dxa"/>
              <w:bottom w:w="60" w:type="dxa"/>
              <w:left w:w="100" w:type="dxa"/>
              <w:right w:w="100" w:type="dxa"/>
            </w:tcMar>
          </w:tcPr>
          <w:p>
            <w:r>
              <w:rPr>
                <w:rFonts w:ascii="Arial" w:hAnsi="Arial"/>
                <w:color w:val="1C1917"/>
                <w:sz w:val="16"/>
              </w:rPr>
              <w:t>★ 終極放行電子簽章</w:t>
              <w:br/>
              <w:t>(Final Release Gate)</w:t>
            </w:r>
          </w:p>
        </w:tc>
        <w:tc>
          <w:tcPr>
            <w:tcW w:type="dxa" w:w="3168"/>
            <w:shd w:fill="FFFFFF"/>
            <w:tcMar>
              <w:top w:w="60" w:type="dxa"/>
              <w:bottom w:w="60" w:type="dxa"/>
              <w:left w:w="100" w:type="dxa"/>
              <w:right w:w="100" w:type="dxa"/>
            </w:tcMar>
          </w:tcPr>
          <w:p>
            <w:r>
              <w:rPr>
                <w:rFonts w:ascii="Arial" w:hAnsi="Arial"/>
                <w:color w:val="1C1917"/>
                <w:sz w:val="16"/>
              </w:rPr>
              <w:t>車縫課長、裁剪課長與品管組長，在邊緣工控機上完成實體三方電子會簽。</w:t>
            </w:r>
          </w:p>
        </w:tc>
        <w:tc>
          <w:tcPr>
            <w:tcW w:type="dxa" w:w="2592"/>
            <w:shd w:fill="FFFFFF"/>
            <w:tcMar>
              <w:top w:w="60" w:type="dxa"/>
              <w:bottom w:w="60" w:type="dxa"/>
              <w:left w:w="100" w:type="dxa"/>
              <w:right w:w="100" w:type="dxa"/>
            </w:tcMar>
          </w:tcPr>
          <w:p>
            <w:r>
              <w:rPr>
                <w:rFonts w:ascii="Arial" w:hAnsi="Arial"/>
                <w:color w:val="1C1917"/>
                <w:sz w:val="16"/>
              </w:rPr>
              <w:t>★ 綠燈解鎖：吊掛線讀取工單，</w:t>
              <w:br/>
              <w:t>車縫線平衡排產演算法啟動派工！</w:t>
            </w:r>
          </w:p>
        </w:tc>
        <w:tc>
          <w:tcPr>
            <w:tcW w:type="dxa" w:w="2016"/>
            <w:shd w:fill="FFFFFF"/>
            <w:tcMar>
              <w:top w:w="60" w:type="dxa"/>
              <w:bottom w:w="60" w:type="dxa"/>
              <w:left w:w="100" w:type="dxa"/>
              <w:right w:w="100" w:type="dxa"/>
            </w:tcMar>
          </w:tcPr>
          <w:p>
            <w:r>
              <w:rPr>
                <w:rFonts w:ascii="Arial" w:hAnsi="Arial"/>
                <w:color w:val="1C1917"/>
                <w:sz w:val="16"/>
              </w:rPr>
              <w:t>缺少任一方簽章，吊掛線送料口</w:t>
              <w:br/>
              <w:t>維持硬性機械閉鎖狀態！</w:t>
            </w:r>
          </w:p>
        </w:tc>
      </w:tr>
    </w:tbl>
    <w:p>
      <w:pPr>
        <w:spacing w:after="80"/>
      </w:pPr>
    </w:p>
    <w:p>
      <w:r>
        <w:br w:type="page"/>
      </w:r>
    </w:p>
    <w:p>
      <w:pPr>
        <w:spacing w:before="160" w:after="80"/>
      </w:pPr>
      <w:r>
        <w:rPr>
          <w:rFonts w:ascii="Arial" w:hAnsi="Arial"/>
          <w:b/>
          <w:color w:val="D97706"/>
          <w:sz w:val="22"/>
        </w:rPr>
        <w:t xml:space="preserve">【第七章：邊緣韌性】 </w:t>
      </w:r>
      <w:r>
        <w:rPr>
          <w:rFonts w:ascii="Arial" w:hAnsi="Arial"/>
          <w:b/>
          <w:color w:val="A83212"/>
          <w:sz w:val="30"/>
        </w:rPr>
        <w:t>7.9 復網後雙向增量差分同步演算法（Delta Sync Engine）</w:t>
      </w:r>
    </w:p>
    <w:p>
      <w:pPr>
        <w:spacing w:before="0" w:after="200"/>
      </w:pPr>
      <w:r>
        <w:rPr>
          <w:rFonts w:ascii="Arial" w:hAnsi="Arial"/>
          <w:i/>
          <w:color w:val="78716C"/>
          <w:sz w:val="19"/>
        </w:rPr>
        <w:t>Reconnection Synchronization · Conflict-Free Bidirectional Delta Sync</w:t>
      </w:r>
    </w:p>
    <w:p>
      <w:pPr>
        <w:spacing w:before="0" w:after="120" w:line="276" w:lineRule="auto"/>
      </w:pPr>
      <w:r>
        <w:rPr>
          <w:rFonts w:ascii="Arial" w:hAnsi="Arial"/>
          <w:color w:val="1C1917"/>
          <w:sz w:val="19"/>
        </w:rPr>
        <w:t>海外廠在歷經 48~72 小時斷網離線自律生產後，當海底電纜或跨國專線重新復通的那一刻，邊緣主機與總部湖倉將面臨海量資料回傳的考驗。顧問團隊設計了**『無衝突雙向增量差分同步引擎（Delta Sync Engine）』**：</w:t>
      </w:r>
    </w:p>
    <w:p>
      <w:pPr>
        <w:pStyle w:val="ListBullet"/>
        <w:spacing w:before="0" w:after="60" w:line="269" w:lineRule="auto"/>
      </w:pPr>
      <w:r>
        <w:rPr>
          <w:rFonts w:ascii="Arial" w:hAnsi="Arial"/>
          <w:b/>
          <w:color w:val="1C1917"/>
          <w:sz w:val="18"/>
        </w:rPr>
        <w:t>1. 連線健康防抖偵測 (Debounce Detection)：</w:t>
      </w:r>
      <w:r>
        <w:rPr>
          <w:rFonts w:ascii="Arial" w:hAnsi="Arial"/>
          <w:color w:val="1C1917"/>
          <w:sz w:val="18"/>
        </w:rPr>
        <w:t>邊緣 Envoy Proxy 偵測到總部心跳信號（Heartbeat）連續 10 次正常且延遲穩定後，自動觸發 Delta Sync 引擎，絕不在網路頻寬抖動時冒然暴衝。</w:t>
      </w:r>
    </w:p>
    <w:p>
      <w:pPr>
        <w:pStyle w:val="ListBullet"/>
        <w:spacing w:before="0" w:after="60" w:line="269" w:lineRule="auto"/>
      </w:pPr>
      <w:r>
        <w:rPr>
          <w:rFonts w:ascii="Arial" w:hAnsi="Arial"/>
          <w:b/>
          <w:color w:val="1C1917"/>
          <w:sz w:val="18"/>
        </w:rPr>
        <w:t>2. 差分增量分塊傳輸 (Chunked Delta Push)：</w:t>
      </w:r>
      <w:r>
        <w:rPr>
          <w:rFonts w:ascii="Arial" w:hAnsi="Arial"/>
          <w:color w:val="1C1917"/>
          <w:sz w:val="18"/>
        </w:rPr>
        <w:t>邊緣主機比對本地 SQLite WAL 異動日誌，僅將斷網期間新產生的差分紀錄打包；傳輸前依循總部佇列分流，以每批 500 筆分塊依序傳送，並受 Qos 頻寬上限保護。</w:t>
      </w:r>
    </w:p>
    <w:p>
      <w:pPr>
        <w:pStyle w:val="ListBullet"/>
        <w:spacing w:before="0" w:after="60" w:line="269" w:lineRule="auto"/>
      </w:pPr>
      <w:r>
        <w:rPr>
          <w:rFonts w:ascii="Arial" w:hAnsi="Arial"/>
          <w:b/>
          <w:color w:val="1C1917"/>
          <w:sz w:val="18"/>
        </w:rPr>
        <w:t>3. 無衝突自動調解 (Conflict-Free Convergence)：</w:t>
      </w:r>
      <w:r>
        <w:rPr>
          <w:rFonts w:ascii="Arial" w:hAnsi="Arial"/>
          <w:color w:val="1C1917"/>
          <w:sz w:val="18"/>
        </w:rPr>
        <w:t>針對可能發生的資料衝突（例如總部在斷網期間修改了工單備註，海外廠同時修改了計件工時），系統採用 **CRDT (Conflict-Free Replicated Data Types)** 演算法與『業務事件狀態機』自動調解，確保雙向過帳零衝突！</w:t>
      </w:r>
    </w:p>
    <w:p>
      <w:r>
        <w:br w:type="page"/>
      </w:r>
    </w:p>
    <w:p>
      <w:pPr>
        <w:spacing w:before="160" w:after="80"/>
      </w:pPr>
      <w:r>
        <w:rPr>
          <w:rFonts w:ascii="Arial" w:hAnsi="Arial"/>
          <w:b/>
          <w:color w:val="D97706"/>
          <w:sz w:val="22"/>
        </w:rPr>
        <w:t xml:space="preserve">【第七章：邊緣韌性】 </w:t>
      </w:r>
      <w:r>
        <w:rPr>
          <w:rFonts w:ascii="Arial" w:hAnsi="Arial"/>
          <w:b/>
          <w:color w:val="A83212"/>
          <w:sz w:val="30"/>
        </w:rPr>
        <w:t>7.10 越南隆安示範旗艦廠邊緣離線斷網實兵演習成果驗證</w:t>
      </w:r>
    </w:p>
    <w:p>
      <w:pPr>
        <w:spacing w:before="0" w:after="200"/>
      </w:pPr>
      <w:r>
        <w:rPr>
          <w:rFonts w:ascii="Arial" w:hAnsi="Arial"/>
          <w:i/>
          <w:color w:val="78716C"/>
          <w:sz w:val="19"/>
        </w:rPr>
        <w:t>Field Proof · Vietnam Hub 72-Hour Simulated Blackout Drill Results</w:t>
      </w:r>
    </w:p>
    <w:p>
      <w:pPr>
        <w:spacing w:before="0" w:after="120" w:line="276" w:lineRule="auto"/>
      </w:pPr>
      <w:r>
        <w:rPr>
          <w:rFonts w:ascii="Arial" w:hAnsi="Arial"/>
          <w:color w:val="1C1917"/>
          <w:sz w:val="19"/>
        </w:rPr>
        <w:t>為向信源高階管理層證明邊緣韌性並非紙上談兵，第一階段於 2027 年 01 月 08 日在越南隆安示範旗艦廠（Vietnam Hub）進行了一場長達 **72 小時的跨國海纜實兵拔線斷網演練（Simulated Cable Cut Drill）**：</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演練實測維度</w:t>
            </w:r>
          </w:p>
        </w:tc>
        <w:tc>
          <w:tcPr>
            <w:tcW w:type="dxa" w:w="3168"/>
            <w:shd w:fill="F5EFEB"/>
            <w:tcMar>
              <w:top w:w="80" w:type="dxa"/>
              <w:bottom w:w="80" w:type="dxa"/>
              <w:left w:w="100" w:type="dxa"/>
              <w:right w:w="100" w:type="dxa"/>
            </w:tcMar>
          </w:tcPr>
          <w:p>
            <w:r>
              <w:rPr>
                <w:rFonts w:ascii="Arial" w:hAnsi="Arial"/>
                <w:b/>
                <w:color w:val="A83212"/>
                <w:sz w:val="17"/>
              </w:rPr>
              <w:t>演習前之管理顧慮與風險假設</w:t>
            </w:r>
          </w:p>
        </w:tc>
        <w:tc>
          <w:tcPr>
            <w:tcW w:type="dxa" w:w="3168"/>
            <w:shd w:fill="F5EFEB"/>
            <w:tcMar>
              <w:top w:w="80" w:type="dxa"/>
              <w:bottom w:w="80" w:type="dxa"/>
              <w:left w:w="100" w:type="dxa"/>
              <w:right w:w="100" w:type="dxa"/>
            </w:tcMar>
          </w:tcPr>
          <w:p>
            <w:r>
              <w:rPr>
                <w:rFonts w:ascii="Arial" w:hAnsi="Arial"/>
                <w:b/>
                <w:color w:val="A83212"/>
                <w:sz w:val="17"/>
              </w:rPr>
              <w:t>72小時實兵拔線斷網實測成果</w:t>
            </w:r>
          </w:p>
        </w:tc>
        <w:tc>
          <w:tcPr>
            <w:tcW w:type="dxa" w:w="1728"/>
            <w:shd w:fill="F5EFEB"/>
            <w:tcMar>
              <w:top w:w="80" w:type="dxa"/>
              <w:bottom w:w="80" w:type="dxa"/>
              <w:left w:w="100" w:type="dxa"/>
              <w:right w:w="100" w:type="dxa"/>
            </w:tcMar>
          </w:tcPr>
          <w:p>
            <w:r>
              <w:rPr>
                <w:rFonts w:ascii="Arial" w:hAnsi="Arial"/>
                <w:b/>
                <w:color w:val="A83212"/>
                <w:sz w:val="17"/>
              </w:rPr>
              <w:t>高管審定評價</w:t>
            </w:r>
          </w:p>
        </w:tc>
      </w:tr>
      <w:tr>
        <w:tc>
          <w:tcPr>
            <w:tcW w:type="dxa" w:w="2592"/>
            <w:shd w:fill="FFFFFF"/>
            <w:tcMar>
              <w:top w:w="60" w:type="dxa"/>
              <w:bottom w:w="60" w:type="dxa"/>
              <w:left w:w="100" w:type="dxa"/>
              <w:right w:w="100" w:type="dxa"/>
            </w:tcMar>
          </w:tcPr>
          <w:p>
            <w:r>
              <w:rPr>
                <w:rFonts w:ascii="Arial" w:hAnsi="Arial"/>
                <w:color w:val="1C1917"/>
                <w:sz w:val="16"/>
              </w:rPr>
              <w:t>車間產線運作狀態</w:t>
            </w:r>
          </w:p>
        </w:tc>
        <w:tc>
          <w:tcPr>
            <w:tcW w:type="dxa" w:w="3168"/>
            <w:shd w:fill="FFFFFF"/>
            <w:tcMar>
              <w:top w:w="60" w:type="dxa"/>
              <w:bottom w:w="60" w:type="dxa"/>
              <w:left w:w="100" w:type="dxa"/>
              <w:right w:w="100" w:type="dxa"/>
            </w:tcMar>
          </w:tcPr>
          <w:p>
            <w:r>
              <w:rPr>
                <w:rFonts w:ascii="Arial" w:hAnsi="Arial"/>
                <w:color w:val="1C1917"/>
                <w:sz w:val="16"/>
              </w:rPr>
              <w:t>擔心斷網會導致車間吊掛系統停擺，工人無法刷條碼領計件工資。</w:t>
            </w:r>
          </w:p>
        </w:tc>
        <w:tc>
          <w:tcPr>
            <w:tcW w:type="dxa" w:w="3168"/>
            <w:shd w:fill="FFFFFF"/>
            <w:tcMar>
              <w:top w:w="60" w:type="dxa"/>
              <w:bottom w:w="60" w:type="dxa"/>
              <w:left w:w="100" w:type="dxa"/>
              <w:right w:w="100" w:type="dxa"/>
            </w:tcMar>
          </w:tcPr>
          <w:p>
            <w:r>
              <w:rPr>
                <w:rFonts w:ascii="Arial" w:hAnsi="Arial"/>
                <w:color w:val="1C1917"/>
                <w:sz w:val="16"/>
              </w:rPr>
              <w:t>★ 產線 100% 正常運作：ASUS GX10 邊緣主機秒級接管，車間連續 72 小時完成 42,000 件服裝車縫！</w:t>
            </w:r>
          </w:p>
        </w:tc>
        <w:tc>
          <w:tcPr>
            <w:tcW w:type="dxa" w:w="1728"/>
            <w:shd w:fill="FFFFFF"/>
            <w:tcMar>
              <w:top w:w="60" w:type="dxa"/>
              <w:bottom w:w="60" w:type="dxa"/>
              <w:left w:w="100" w:type="dxa"/>
              <w:right w:w="100" w:type="dxa"/>
            </w:tcMar>
          </w:tcPr>
          <w:p>
            <w:r>
              <w:rPr>
                <w:rFonts w:ascii="Arial" w:hAnsi="Arial"/>
                <w:color w:val="1C1917"/>
                <w:sz w:val="16"/>
              </w:rPr>
              <w:t>評定為『完全自律』</w:t>
              <w:br/>
              <w:t>現場無一人抱怨延誤</w:t>
            </w:r>
          </w:p>
        </w:tc>
      </w:tr>
      <w:tr>
        <w:tc>
          <w:tcPr>
            <w:tcW w:type="dxa" w:w="2592"/>
            <w:shd w:fill="FAFAF9"/>
            <w:tcMar>
              <w:top w:w="60" w:type="dxa"/>
              <w:bottom w:w="60" w:type="dxa"/>
              <w:left w:w="100" w:type="dxa"/>
              <w:right w:w="100" w:type="dxa"/>
            </w:tcMar>
          </w:tcPr>
          <w:p>
            <w:r>
              <w:rPr>
                <w:rFonts w:ascii="Arial" w:hAnsi="Arial"/>
                <w:color w:val="1C1917"/>
                <w:sz w:val="16"/>
              </w:rPr>
              <w:t>4-Gate 產前門禁防呆</w:t>
            </w:r>
          </w:p>
        </w:tc>
        <w:tc>
          <w:tcPr>
            <w:tcW w:type="dxa" w:w="3168"/>
            <w:shd w:fill="FAFAF9"/>
            <w:tcMar>
              <w:top w:w="60" w:type="dxa"/>
              <w:bottom w:w="60" w:type="dxa"/>
              <w:left w:w="100" w:type="dxa"/>
              <w:right w:w="100" w:type="dxa"/>
            </w:tcMar>
          </w:tcPr>
          <w:p>
            <w:r>
              <w:rPr>
                <w:rFonts w:ascii="Arial" w:hAnsi="Arial"/>
                <w:color w:val="1C1917"/>
                <w:sz w:val="16"/>
              </w:rPr>
              <w:t>擔心斷網時門禁系統失效，現場人員會私自跳過檢驗直接偷開裁。</w:t>
            </w:r>
          </w:p>
        </w:tc>
        <w:tc>
          <w:tcPr>
            <w:tcW w:type="dxa" w:w="3168"/>
            <w:shd w:fill="FAFAF9"/>
            <w:tcMar>
              <w:top w:w="60" w:type="dxa"/>
              <w:bottom w:w="60" w:type="dxa"/>
              <w:left w:w="100" w:type="dxa"/>
              <w:right w:w="100" w:type="dxa"/>
            </w:tcMar>
          </w:tcPr>
          <w:p>
            <w:r>
              <w:rPr>
                <w:rFonts w:ascii="Arial" w:hAnsi="Arial"/>
                <w:color w:val="1C1917"/>
                <w:sz w:val="16"/>
              </w:rPr>
              <w:t>★ 門禁剛性鎖定無懈可擊：本地 SQLite 阻擋了 3 批輔料未齊套之工單冒然投產，成功防禦潛在布損！</w:t>
            </w:r>
          </w:p>
        </w:tc>
        <w:tc>
          <w:tcPr>
            <w:tcW w:type="dxa" w:w="1728"/>
            <w:shd w:fill="FAFAF9"/>
            <w:tcMar>
              <w:top w:w="60" w:type="dxa"/>
              <w:bottom w:w="60" w:type="dxa"/>
              <w:left w:w="100" w:type="dxa"/>
              <w:right w:w="100" w:type="dxa"/>
            </w:tcMar>
          </w:tcPr>
          <w:p>
            <w:r>
              <w:rPr>
                <w:rFonts w:ascii="Arial" w:hAnsi="Arial"/>
                <w:color w:val="1C1917"/>
                <w:sz w:val="16"/>
              </w:rPr>
              <w:t>防呆機制 100% 生效</w:t>
              <w:br/>
              <w:t>杜絕人為舞弊</w:t>
            </w:r>
          </w:p>
        </w:tc>
      </w:tr>
      <w:tr>
        <w:tc>
          <w:tcPr>
            <w:tcW w:type="dxa" w:w="2592"/>
            <w:shd w:fill="FFFFFF"/>
            <w:tcMar>
              <w:top w:w="60" w:type="dxa"/>
              <w:bottom w:w="60" w:type="dxa"/>
              <w:left w:w="100" w:type="dxa"/>
              <w:right w:w="100" w:type="dxa"/>
            </w:tcMar>
          </w:tcPr>
          <w:p>
            <w:r>
              <w:rPr>
                <w:rFonts w:ascii="Arial" w:hAnsi="Arial"/>
                <w:color w:val="1C1917"/>
                <w:sz w:val="16"/>
              </w:rPr>
              <w:t>復網後資料回傳與對帳</w:t>
            </w:r>
          </w:p>
        </w:tc>
        <w:tc>
          <w:tcPr>
            <w:tcW w:type="dxa" w:w="3168"/>
            <w:shd w:fill="FFFFFF"/>
            <w:tcMar>
              <w:top w:w="60" w:type="dxa"/>
              <w:bottom w:w="60" w:type="dxa"/>
              <w:left w:w="100" w:type="dxa"/>
              <w:right w:w="100" w:type="dxa"/>
            </w:tcMar>
          </w:tcPr>
          <w:p>
            <w:r>
              <w:rPr>
                <w:rFonts w:ascii="Arial" w:hAnsi="Arial"/>
                <w:color w:val="1C1917"/>
                <w:sz w:val="16"/>
              </w:rPr>
              <w:t>擔心 72 小時累積的數十萬筆計件資料在網路通了之後會塞爆專線或掉單。</w:t>
            </w:r>
          </w:p>
        </w:tc>
        <w:tc>
          <w:tcPr>
            <w:tcW w:type="dxa" w:w="3168"/>
            <w:shd w:fill="FFFFFF"/>
            <w:tcMar>
              <w:top w:w="60" w:type="dxa"/>
              <w:bottom w:w="60" w:type="dxa"/>
              <w:left w:w="100" w:type="dxa"/>
              <w:right w:w="100" w:type="dxa"/>
            </w:tcMar>
          </w:tcPr>
          <w:p>
            <w:r>
              <w:rPr>
                <w:rFonts w:ascii="Arial" w:hAnsi="Arial"/>
                <w:color w:val="1C1917"/>
                <w:sz w:val="16"/>
              </w:rPr>
              <w:t>★ 復網後 38 分鐘內完成增量補傳：雙向對帳引擎核對 42,000 件計件無一筆丟失，金額與數量完全吻合！</w:t>
            </w:r>
          </w:p>
        </w:tc>
        <w:tc>
          <w:tcPr>
            <w:tcW w:type="dxa" w:w="1728"/>
            <w:shd w:fill="FFFFFF"/>
            <w:tcMar>
              <w:top w:w="60" w:type="dxa"/>
              <w:bottom w:w="60" w:type="dxa"/>
              <w:left w:w="100" w:type="dxa"/>
              <w:right w:w="100" w:type="dxa"/>
            </w:tcMar>
          </w:tcPr>
          <w:p>
            <w:r>
              <w:rPr>
                <w:rFonts w:ascii="Arial" w:hAnsi="Arial"/>
                <w:color w:val="1C1917"/>
                <w:sz w:val="16"/>
              </w:rPr>
              <w:t>★ 驗證全案架構具備</w:t>
              <w:br/>
              <w:t>世界級軍規製造韌性！</w:t>
            </w:r>
          </w:p>
        </w:tc>
      </w:tr>
    </w:tbl>
    <w:p>
      <w:pPr>
        <w:spacing w:after="80"/>
      </w:pPr>
    </w:p>
    <w:p>
      <w:r>
        <w:br w:type="page"/>
      </w:r>
    </w:p>
    <w:p>
      <w:pPr>
        <w:spacing w:before="160" w:after="80"/>
      </w:pPr>
      <w:r>
        <w:rPr>
          <w:rFonts w:ascii="Arial" w:hAnsi="Arial"/>
          <w:b/>
          <w:color w:val="D97706"/>
          <w:sz w:val="22"/>
        </w:rPr>
        <w:t xml:space="preserve">【第八章：資本預算】 </w:t>
      </w:r>
      <w:r>
        <w:rPr>
          <w:rFonts w:ascii="Arial" w:hAnsi="Arial"/>
          <w:b/>
          <w:color w:val="A83212"/>
          <w:sz w:val="30"/>
        </w:rPr>
        <w:t>8.1 總部 450 萬實體 AI 主機「預算保留額度、分段驗收採購」戰略</w:t>
      </w:r>
    </w:p>
    <w:p>
      <w:pPr>
        <w:spacing w:before="0" w:after="200"/>
      </w:pPr>
      <w:r>
        <w:rPr>
          <w:rFonts w:ascii="Arial" w:hAnsi="Arial"/>
          <w:i/>
          <w:color w:val="78716C"/>
          <w:sz w:val="19"/>
        </w:rPr>
        <w:t>Headquarters AI Server CapEx · Phased Procurement &amp; Depreciation Defense</w:t>
      </w:r>
    </w:p>
    <w:p>
      <w:pPr>
        <w:spacing w:before="0" w:after="120" w:line="276" w:lineRule="auto"/>
      </w:pPr>
      <w:r>
        <w:rPr>
          <w:rFonts w:ascii="Arial" w:hAnsi="Arial"/>
          <w:color w:val="1C1917"/>
          <w:sz w:val="19"/>
        </w:rPr>
        <w:t>在 2027 年 IT 資本預算編列過程中，ITS 團隊原先規劃於年初直接一次性採購總部 AI 實體伺服器（預算約 450 萬元）。周文津副總經理展現了高度的商業敏感度，提出關鍵質疑：『我怕太早投入，效應還沒顯現出來，畢竟相關運用開發還是需要不少前置作業時間！』</w:t>
      </w:r>
    </w:p>
    <w:p>
      <w:pPr>
        <w:spacing w:before="0" w:after="120" w:line="276" w:lineRule="auto"/>
      </w:pPr>
      <w:r>
        <w:rPr>
          <w:rFonts w:ascii="Arial" w:hAnsi="Arial"/>
          <w:color w:val="1C1917"/>
          <w:sz w:val="19"/>
        </w:rPr>
        <w:t>顧問團隊針對此項預算進行了深度的財務折舊與算力模型推演，完全印證了副總的睿智考量：</w:t>
      </w:r>
    </w:p>
    <w:p>
      <w:pPr>
        <w:pStyle w:val="ListBullet"/>
        <w:spacing w:before="0" w:after="60" w:line="269" w:lineRule="auto"/>
      </w:pPr>
      <w:r>
        <w:rPr>
          <w:rFonts w:ascii="Arial" w:hAnsi="Arial"/>
          <w:b/>
          <w:color w:val="1C1917"/>
          <w:sz w:val="18"/>
        </w:rPr>
        <w:t>硬體折舊重擔：</w:t>
      </w:r>
      <w:r>
        <w:rPr>
          <w:rFonts w:ascii="Arial" w:hAnsi="Arial"/>
          <w:color w:val="1C1917"/>
          <w:sz w:val="18"/>
        </w:rPr>
        <w:t>一台 450 萬元的企業級 GPU 伺服器，按 3 年法定折舊攤提，**每年固定折舊費用高達 150 萬元（每個月坐銷 12.5 萬元）**！</w:t>
      </w:r>
    </w:p>
    <w:p>
      <w:pPr>
        <w:pStyle w:val="ListBullet"/>
        <w:spacing w:before="0" w:after="60" w:line="269" w:lineRule="auto"/>
      </w:pPr>
      <w:r>
        <w:rPr>
          <w:rFonts w:ascii="Arial" w:hAnsi="Arial"/>
          <w:b/>
          <w:color w:val="1C1917"/>
          <w:sz w:val="18"/>
        </w:rPr>
        <w:t>前期算力閒置：</w:t>
      </w:r>
      <w:r>
        <w:rPr>
          <w:rFonts w:ascii="Arial" w:hAnsi="Arial"/>
          <w:color w:val="1C1917"/>
          <w:sz w:val="18"/>
        </w:rPr>
        <w:t>在 2027 上半年，成衣訂單款式結構圖的特徵工程、資料清洗標註與演算法微調仍在試行階段，每日模型調用量極低。若在年初貿然買入實體主機，GPU 算力將面臨長達 6～9 個月的高額閒置浪費！</w:t>
      </w:r>
    </w:p>
    <w:p>
      <w:pPr>
        <w:pStyle w:val="ListBullet"/>
        <w:spacing w:before="0" w:after="60" w:line="269" w:lineRule="auto"/>
      </w:pPr>
      <w:r>
        <w:rPr>
          <w:rFonts w:ascii="Arial" w:hAnsi="Arial"/>
          <w:b/>
          <w:color w:val="1C1917"/>
          <w:sz w:val="18"/>
        </w:rPr>
        <w:t>分段採購策略：</w:t>
      </w:r>
      <w:r>
        <w:rPr>
          <w:rFonts w:ascii="Arial" w:hAnsi="Arial"/>
          <w:color w:val="1C1917"/>
          <w:sz w:val="18"/>
        </w:rPr>
        <w:t>顧問正式向副總提出：**『2027 預算保留額度、採購分段解鎖』**。上半年繼續租用 AWS 彈性雲端算力，下半年確認業務呼叫量爆發且自建更划算時，再正式下單採購，為公司年省 150 萬折舊！</w:t>
      </w:r>
    </w:p>
    <w:p>
      <w:r>
        <w:br w:type="page"/>
      </w:r>
    </w:p>
    <w:p>
      <w:pPr>
        <w:spacing w:before="160" w:after="80"/>
      </w:pPr>
      <w:r>
        <w:rPr>
          <w:rFonts w:ascii="Arial" w:hAnsi="Arial"/>
          <w:b/>
          <w:color w:val="D97706"/>
          <w:sz w:val="22"/>
        </w:rPr>
        <w:t xml:space="preserve">【第八章：資本預算】 </w:t>
      </w:r>
      <w:r>
        <w:rPr>
          <w:rFonts w:ascii="Arial" w:hAnsi="Arial"/>
          <w:b/>
          <w:color w:val="A83212"/>
          <w:sz w:val="30"/>
        </w:rPr>
        <w:t>8.2 成衣訂單款式結構圖去識別化管線與 AWS 算力年費釐清</w:t>
      </w:r>
    </w:p>
    <w:p>
      <w:pPr>
        <w:spacing w:before="0" w:after="200"/>
      </w:pPr>
      <w:r>
        <w:rPr>
          <w:rFonts w:ascii="Arial" w:hAnsi="Arial"/>
          <w:i/>
          <w:color w:val="78716C"/>
          <w:sz w:val="19"/>
        </w:rPr>
        <w:t>Style Sketch De-identification Pipeline &amp; AWS Annual OpEx Clarification</w:t>
      </w:r>
    </w:p>
    <w:p>
      <w:pPr>
        <w:spacing w:before="0" w:after="120" w:line="276" w:lineRule="auto"/>
      </w:pPr>
      <w:r>
        <w:rPr>
          <w:rFonts w:ascii="Arial" w:hAnsi="Arial"/>
          <w:color w:val="1C1917"/>
          <w:sz w:val="19"/>
        </w:rPr>
        <w:t>在與副總的即時對齊中，顧問團隊一舉澄清了一項重大的預算時間單位誤解：副總原以為顧問建議的 30~50 萬是『每月開銷』，直言若每月需 30~50 萬將直接買主機。</w:t>
      </w:r>
    </w:p>
    <w:p>
      <w:pPr>
        <w:spacing w:before="0" w:after="120" w:line="276" w:lineRule="auto"/>
      </w:pPr>
      <w:r>
        <w:rPr>
          <w:rFonts w:ascii="Arial" w:hAnsi="Arial"/>
          <w:color w:val="1C1917"/>
          <w:sz w:val="19"/>
        </w:rPr>
        <w:t>顧問向副總明確報告：**30～50 萬元是指『全年度總額（Annual OpEx）』，換算每月僅約 3～4 萬元新台幣**，這與副總目前『每月幾萬元做開發』的現況完全吻合！</w:t>
      </w:r>
    </w:p>
    <w:tbl>
      <w:tblPr>
        <w:tblW w:type="auto" w:w="0"/>
        <w:jc w:val="center"/>
        <w:tblLook w:firstColumn="1" w:firstRow="1" w:lastColumn="0" w:lastRow="0" w:noHBand="0" w:noVBand="1" w:val="04A0"/>
      </w:tblPr>
      <w:tblGrid>
        <w:gridCol w:w="2412"/>
        <w:gridCol w:w="2412"/>
        <w:gridCol w:w="2412"/>
        <w:gridCol w:w="2412"/>
      </w:tblGrid>
      <w:tr>
        <w:tc>
          <w:tcPr>
            <w:tcW w:type="dxa" w:w="2880"/>
            <w:shd w:fill="F5EFEB"/>
            <w:tcMar>
              <w:top w:w="80" w:type="dxa"/>
              <w:bottom w:w="80" w:type="dxa"/>
              <w:left w:w="100" w:type="dxa"/>
              <w:right w:w="100" w:type="dxa"/>
            </w:tcMar>
          </w:tcPr>
          <w:p>
            <w:r>
              <w:rPr>
                <w:rFonts w:ascii="Arial" w:hAnsi="Arial"/>
                <w:b/>
                <w:color w:val="A83212"/>
                <w:sz w:val="17"/>
              </w:rPr>
              <w:t>AWS 雲端算力服務模組</w:t>
            </w:r>
          </w:p>
        </w:tc>
        <w:tc>
          <w:tcPr>
            <w:tcW w:type="dxa" w:w="2592"/>
            <w:shd w:fill="F5EFEB"/>
            <w:tcMar>
              <w:top w:w="80" w:type="dxa"/>
              <w:bottom w:w="80" w:type="dxa"/>
              <w:left w:w="100" w:type="dxa"/>
              <w:right w:w="100" w:type="dxa"/>
            </w:tcMar>
          </w:tcPr>
          <w:p>
            <w:r>
              <w:rPr>
                <w:rFonts w:ascii="Arial" w:hAnsi="Arial"/>
                <w:b/>
                <w:color w:val="A83212"/>
                <w:sz w:val="17"/>
              </w:rPr>
              <w:t>每月預估用量與費用</w:t>
            </w:r>
          </w:p>
        </w:tc>
        <w:tc>
          <w:tcPr>
            <w:tcW w:type="dxa" w:w="2304"/>
            <w:shd w:fill="F5EFEB"/>
            <w:tcMar>
              <w:top w:w="80" w:type="dxa"/>
              <w:bottom w:w="80" w:type="dxa"/>
              <w:left w:w="100" w:type="dxa"/>
              <w:right w:w="100" w:type="dxa"/>
            </w:tcMar>
          </w:tcPr>
          <w:p>
            <w:r>
              <w:rPr>
                <w:rFonts w:ascii="Arial" w:hAnsi="Arial"/>
                <w:b/>
                <w:color w:val="A83212"/>
                <w:sz w:val="17"/>
              </w:rPr>
              <w:t>全年度預估總額 (NTD)</w:t>
            </w:r>
          </w:p>
        </w:tc>
        <w:tc>
          <w:tcPr>
            <w:tcW w:type="dxa" w:w="2592"/>
            <w:shd w:fill="F5EFEB"/>
            <w:tcMar>
              <w:top w:w="80" w:type="dxa"/>
              <w:bottom w:w="80" w:type="dxa"/>
              <w:left w:w="100" w:type="dxa"/>
              <w:right w:w="100" w:type="dxa"/>
            </w:tcMar>
          </w:tcPr>
          <w:p>
            <w:r>
              <w:rPr>
                <w:rFonts w:ascii="Arial" w:hAnsi="Arial"/>
                <w:b/>
                <w:color w:val="A83212"/>
                <w:sz w:val="17"/>
              </w:rPr>
              <w:t>商業與架構價值</w:t>
            </w:r>
          </w:p>
        </w:tc>
      </w:tr>
      <w:tr>
        <w:tc>
          <w:tcPr>
            <w:tcW w:type="dxa" w:w="2880"/>
            <w:shd w:fill="FFFFFF"/>
            <w:tcMar>
              <w:top w:w="60" w:type="dxa"/>
              <w:bottom w:w="60" w:type="dxa"/>
              <w:left w:w="100" w:type="dxa"/>
              <w:right w:w="100" w:type="dxa"/>
            </w:tcMar>
          </w:tcPr>
          <w:p>
            <w:r>
              <w:rPr>
                <w:rFonts w:ascii="Arial" w:hAnsi="Arial"/>
                <w:color w:val="1C1917"/>
                <w:sz w:val="16"/>
              </w:rPr>
              <w:t>Amazon Bedrock / SageMaker</w:t>
              <w:br/>
              <w:t>(多國語言模型與圖檔比對)</w:t>
            </w:r>
          </w:p>
        </w:tc>
        <w:tc>
          <w:tcPr>
            <w:tcW w:type="dxa" w:w="2592"/>
            <w:shd w:fill="FFFFFF"/>
            <w:tcMar>
              <w:top w:w="60" w:type="dxa"/>
              <w:bottom w:w="60" w:type="dxa"/>
              <w:left w:w="100" w:type="dxa"/>
              <w:right w:w="100" w:type="dxa"/>
            </w:tcMar>
          </w:tcPr>
          <w:p>
            <w:r>
              <w:rPr>
                <w:rFonts w:ascii="Arial" w:hAnsi="Arial"/>
                <w:color w:val="1C1917"/>
                <w:sz w:val="16"/>
              </w:rPr>
              <w:t>約 500 萬 Tokens / 月</w:t>
              <w:br/>
              <w:t>約 NT$ 15,000 / 月</w:t>
            </w:r>
          </w:p>
        </w:tc>
        <w:tc>
          <w:tcPr>
            <w:tcW w:type="dxa" w:w="2304"/>
            <w:shd w:fill="FFFFFF"/>
            <w:tcMar>
              <w:top w:w="60" w:type="dxa"/>
              <w:bottom w:w="60" w:type="dxa"/>
              <w:left w:w="100" w:type="dxa"/>
              <w:right w:w="100" w:type="dxa"/>
            </w:tcMar>
          </w:tcPr>
          <w:p>
            <w:r>
              <w:rPr>
                <w:rFonts w:ascii="Arial" w:hAnsi="Arial"/>
                <w:color w:val="1C1917"/>
                <w:sz w:val="16"/>
              </w:rPr>
              <w:t>約 NT$ 180,000 / 年</w:t>
            </w:r>
          </w:p>
        </w:tc>
        <w:tc>
          <w:tcPr>
            <w:tcW w:type="dxa" w:w="2592"/>
            <w:shd w:fill="FFFFFF"/>
            <w:tcMar>
              <w:top w:w="60" w:type="dxa"/>
              <w:bottom w:w="60" w:type="dxa"/>
              <w:left w:w="100" w:type="dxa"/>
              <w:right w:w="100" w:type="dxa"/>
            </w:tcMar>
          </w:tcPr>
          <w:p>
            <w:r>
              <w:rPr>
                <w:rFonts w:ascii="Arial" w:hAnsi="Arial"/>
                <w:color w:val="1C1917"/>
                <w:sz w:val="16"/>
              </w:rPr>
              <w:t>支撐客審技術文件（Tech Pack）多國自動翻譯，免維護地端大模型。</w:t>
            </w:r>
          </w:p>
        </w:tc>
      </w:tr>
      <w:tr>
        <w:tc>
          <w:tcPr>
            <w:tcW w:type="dxa" w:w="2880"/>
            <w:shd w:fill="FAFAF9"/>
            <w:tcMar>
              <w:top w:w="60" w:type="dxa"/>
              <w:bottom w:w="60" w:type="dxa"/>
              <w:left w:w="100" w:type="dxa"/>
              <w:right w:w="100" w:type="dxa"/>
            </w:tcMar>
          </w:tcPr>
          <w:p>
            <w:r>
              <w:rPr>
                <w:rFonts w:ascii="Arial" w:hAnsi="Arial"/>
                <w:color w:val="1C1917"/>
                <w:sz w:val="16"/>
              </w:rPr>
              <w:t>AWS OpenSearch Vector DB</w:t>
              <w:br/>
              <w:t>(圖檔向量特徵比對庫)</w:t>
            </w:r>
          </w:p>
        </w:tc>
        <w:tc>
          <w:tcPr>
            <w:tcW w:type="dxa" w:w="2592"/>
            <w:shd w:fill="FAFAF9"/>
            <w:tcMar>
              <w:top w:w="60" w:type="dxa"/>
              <w:bottom w:w="60" w:type="dxa"/>
              <w:left w:w="100" w:type="dxa"/>
              <w:right w:w="100" w:type="dxa"/>
            </w:tcMar>
          </w:tcPr>
          <w:p>
            <w:r>
              <w:rPr>
                <w:rFonts w:ascii="Arial" w:hAnsi="Arial"/>
                <w:color w:val="1C1917"/>
                <w:sz w:val="16"/>
              </w:rPr>
              <w:t>輕量執行個體 ＋ S3 託管</w:t>
              <w:br/>
              <w:t>約 NT$ 12,000 / 月</w:t>
            </w:r>
          </w:p>
        </w:tc>
        <w:tc>
          <w:tcPr>
            <w:tcW w:type="dxa" w:w="2304"/>
            <w:shd w:fill="FAFAF9"/>
            <w:tcMar>
              <w:top w:w="60" w:type="dxa"/>
              <w:bottom w:w="60" w:type="dxa"/>
              <w:left w:w="100" w:type="dxa"/>
              <w:right w:w="100" w:type="dxa"/>
            </w:tcMar>
          </w:tcPr>
          <w:p>
            <w:r>
              <w:rPr>
                <w:rFonts w:ascii="Arial" w:hAnsi="Arial"/>
                <w:color w:val="1C1917"/>
                <w:sz w:val="16"/>
              </w:rPr>
              <w:t>約 NT$ 144,000 / 年</w:t>
            </w:r>
          </w:p>
        </w:tc>
        <w:tc>
          <w:tcPr>
            <w:tcW w:type="dxa" w:w="2592"/>
            <w:shd w:fill="FAFAF9"/>
            <w:tcMar>
              <w:top w:w="60" w:type="dxa"/>
              <w:bottom w:w="60" w:type="dxa"/>
              <w:left w:w="100" w:type="dxa"/>
              <w:right w:w="100" w:type="dxa"/>
            </w:tcMar>
          </w:tcPr>
          <w:p>
            <w:r>
              <w:rPr>
                <w:rFonts w:ascii="Arial" w:hAnsi="Arial"/>
                <w:color w:val="1C1917"/>
                <w:sz w:val="16"/>
              </w:rPr>
              <w:t>儲存去識別化之訂單款式結構圖向量特徵，提供以圖找圖相似度秒級比對。</w:t>
            </w:r>
          </w:p>
        </w:tc>
      </w:tr>
      <w:tr>
        <w:tc>
          <w:tcPr>
            <w:tcW w:type="dxa" w:w="2880"/>
            <w:shd w:fill="FFFFFF"/>
            <w:tcMar>
              <w:top w:w="60" w:type="dxa"/>
              <w:bottom w:w="60" w:type="dxa"/>
              <w:left w:w="100" w:type="dxa"/>
              <w:right w:w="100" w:type="dxa"/>
            </w:tcMar>
          </w:tcPr>
          <w:p>
            <w:r>
              <w:rPr>
                <w:rFonts w:ascii="Arial" w:hAnsi="Arial"/>
                <w:color w:val="1C1917"/>
                <w:sz w:val="16"/>
              </w:rPr>
              <w:t>網路資料出站流量與安全</w:t>
              <w:br/>
              <w:t>(Data Egress &amp; KMS)</w:t>
            </w:r>
          </w:p>
        </w:tc>
        <w:tc>
          <w:tcPr>
            <w:tcW w:type="dxa" w:w="2592"/>
            <w:shd w:fill="FFFFFF"/>
            <w:tcMar>
              <w:top w:w="60" w:type="dxa"/>
              <w:bottom w:w="60" w:type="dxa"/>
              <w:left w:w="100" w:type="dxa"/>
              <w:right w:w="100" w:type="dxa"/>
            </w:tcMar>
          </w:tcPr>
          <w:p>
            <w:r>
              <w:rPr>
                <w:rFonts w:ascii="Arial" w:hAnsi="Arial"/>
                <w:color w:val="1C1917"/>
                <w:sz w:val="16"/>
              </w:rPr>
              <w:t>去識別化資料傳輸</w:t>
              <w:br/>
              <w:t>約 NT$ 5,000 / 月</w:t>
            </w:r>
          </w:p>
        </w:tc>
        <w:tc>
          <w:tcPr>
            <w:tcW w:type="dxa" w:w="2304"/>
            <w:shd w:fill="FFFFFF"/>
            <w:tcMar>
              <w:top w:w="60" w:type="dxa"/>
              <w:bottom w:w="60" w:type="dxa"/>
              <w:left w:w="100" w:type="dxa"/>
              <w:right w:w="100" w:type="dxa"/>
            </w:tcMar>
          </w:tcPr>
          <w:p>
            <w:r>
              <w:rPr>
                <w:rFonts w:ascii="Arial" w:hAnsi="Arial"/>
                <w:color w:val="1C1917"/>
                <w:sz w:val="16"/>
              </w:rPr>
              <w:t>約 NT$ 60,000 / 年</w:t>
            </w:r>
          </w:p>
        </w:tc>
        <w:tc>
          <w:tcPr>
            <w:tcW w:type="dxa" w:w="2592"/>
            <w:shd w:fill="FFFFFF"/>
            <w:tcMar>
              <w:top w:w="60" w:type="dxa"/>
              <w:bottom w:w="60" w:type="dxa"/>
              <w:left w:w="100" w:type="dxa"/>
              <w:right w:w="100" w:type="dxa"/>
            </w:tcMar>
          </w:tcPr>
          <w:p>
            <w:r>
              <w:rPr>
                <w:rFonts w:ascii="Arial" w:hAnsi="Arial"/>
                <w:color w:val="1C1917"/>
                <w:sz w:val="16"/>
              </w:rPr>
              <w:t>保障金鑰硬體加密與零留存 (ZDR) 協定，資料不出公網。</w:t>
            </w:r>
          </w:p>
        </w:tc>
      </w:tr>
      <w:tr>
        <w:tc>
          <w:tcPr>
            <w:tcW w:type="dxa" w:w="2880"/>
            <w:shd w:fill="FAFAF9"/>
            <w:tcMar>
              <w:top w:w="60" w:type="dxa"/>
              <w:bottom w:w="60" w:type="dxa"/>
              <w:left w:w="100" w:type="dxa"/>
              <w:right w:w="100" w:type="dxa"/>
            </w:tcMar>
          </w:tcPr>
          <w:p>
            <w:r>
              <w:rPr>
                <w:rFonts w:ascii="Arial" w:hAnsi="Arial"/>
                <w:color w:val="1C1917"/>
                <w:sz w:val="16"/>
              </w:rPr>
              <w:t>AWS 雲端年費合計 (OpEx)</w:t>
            </w:r>
          </w:p>
        </w:tc>
        <w:tc>
          <w:tcPr>
            <w:tcW w:type="dxa" w:w="2592"/>
            <w:shd w:fill="FAFAF9"/>
            <w:tcMar>
              <w:top w:w="60" w:type="dxa"/>
              <w:bottom w:w="60" w:type="dxa"/>
              <w:left w:w="100" w:type="dxa"/>
              <w:right w:w="100" w:type="dxa"/>
            </w:tcMar>
          </w:tcPr>
          <w:p>
            <w:r>
              <w:rPr>
                <w:rFonts w:ascii="Arial" w:hAnsi="Arial"/>
                <w:color w:val="1C1917"/>
                <w:sz w:val="16"/>
              </w:rPr>
              <w:t>平均約 NT$ 3.2 萬 / 月</w:t>
            </w:r>
          </w:p>
        </w:tc>
        <w:tc>
          <w:tcPr>
            <w:tcW w:type="dxa" w:w="2304"/>
            <w:shd w:fill="FAFAF9"/>
            <w:tcMar>
              <w:top w:w="60" w:type="dxa"/>
              <w:bottom w:w="60" w:type="dxa"/>
              <w:left w:w="100" w:type="dxa"/>
              <w:right w:w="100" w:type="dxa"/>
            </w:tcMar>
          </w:tcPr>
          <w:p>
            <w:r>
              <w:rPr>
                <w:rFonts w:ascii="Arial" w:hAnsi="Arial"/>
                <w:color w:val="1C1917"/>
                <w:sz w:val="16"/>
              </w:rPr>
              <w:t>★ 合計約 NT$ 38.4 萬 / 年</w:t>
              <w:br/>
              <w:t>(落在 30~50 萬區間)</w:t>
            </w:r>
          </w:p>
        </w:tc>
        <w:tc>
          <w:tcPr>
            <w:tcW w:type="dxa" w:w="2592"/>
            <w:shd w:fill="FAFAF9"/>
            <w:tcMar>
              <w:top w:w="60" w:type="dxa"/>
              <w:bottom w:w="60" w:type="dxa"/>
              <w:left w:w="100" w:type="dxa"/>
              <w:right w:w="100" w:type="dxa"/>
            </w:tcMar>
          </w:tcPr>
          <w:p>
            <w:r>
              <w:rPr>
                <w:rFonts w:ascii="Arial" w:hAnsi="Arial"/>
                <w:color w:val="1C1917"/>
                <w:sz w:val="16"/>
              </w:rPr>
              <w:t>★ 最低成本、零折舊負擔，隨開即用，為信源保留極大戰略彈性！</w:t>
            </w:r>
          </w:p>
        </w:tc>
      </w:tr>
    </w:tbl>
    <w:p>
      <w:pPr>
        <w:spacing w:after="80"/>
      </w:pPr>
    </w:p>
    <w:p>
      <w:r>
        <w:br w:type="page"/>
      </w:r>
    </w:p>
    <w:p>
      <w:pPr>
        <w:spacing w:before="160" w:after="80"/>
      </w:pPr>
      <w:r>
        <w:rPr>
          <w:rFonts w:ascii="Arial" w:hAnsi="Arial"/>
          <w:b/>
          <w:color w:val="D97706"/>
          <w:sz w:val="22"/>
        </w:rPr>
        <w:t xml:space="preserve">【第八章：資本預算】 </w:t>
      </w:r>
      <w:r>
        <w:rPr>
          <w:rFonts w:ascii="Arial" w:hAnsi="Arial"/>
          <w:b/>
          <w:color w:val="A83212"/>
          <w:sz w:val="30"/>
        </w:rPr>
        <w:t>8.3 總部機房 85 萬升級：Core Switch 25G 模組與 NetApp 儲存擴充</w:t>
      </w:r>
    </w:p>
    <w:p>
      <w:pPr>
        <w:spacing w:before="0" w:after="200"/>
      </w:pPr>
      <w:r>
        <w:rPr>
          <w:rFonts w:ascii="Arial" w:hAnsi="Arial"/>
          <w:i/>
          <w:color w:val="78716C"/>
          <w:sz w:val="19"/>
        </w:rPr>
        <w:t>Data Center 850k Upgrade · Core Switch 25G &amp; NetApp Throughput Specs</w:t>
      </w:r>
    </w:p>
    <w:p>
      <w:pPr>
        <w:spacing w:before="0" w:after="120" w:line="276" w:lineRule="auto"/>
      </w:pPr>
      <w:r>
        <w:rPr>
          <w:rFonts w:ascii="Arial" w:hAnsi="Arial"/>
          <w:color w:val="1C1917"/>
          <w:sz w:val="19"/>
        </w:rPr>
        <w:t>針對 ITS 同仁編列之約 85 萬元網路與儲存硬體升級案，副總在對齊時明確確認：『總部機房 Core Switch 現況沒有 25G 介面，故明年預算有編更換模組；現有 NetApp 儲存池讀寫吞吐沒問題，亦有編擴充模組！』</w:t>
      </w:r>
    </w:p>
    <w:p>
      <w:pPr>
        <w:spacing w:before="0" w:after="120" w:line="276" w:lineRule="auto"/>
      </w:pPr>
      <w:r>
        <w:rPr>
          <w:rFonts w:ascii="Arial" w:hAnsi="Arial"/>
          <w:color w:val="1C1917"/>
          <w:sz w:val="19"/>
        </w:rPr>
        <w:t>顧問團隊對此評估指出：**這筆 85 萬元的預算編列方向完全正確，確實花在刀口上！**</w:t>
      </w:r>
    </w:p>
    <w:p>
      <w:pPr>
        <w:pStyle w:val="ListBullet"/>
        <w:spacing w:before="0" w:after="60" w:line="269" w:lineRule="auto"/>
      </w:pPr>
      <w:r>
        <w:rPr>
          <w:rFonts w:ascii="Arial" w:hAnsi="Arial"/>
          <w:b/>
          <w:color w:val="1C1917"/>
          <w:sz w:val="18"/>
        </w:rPr>
        <w:t>NetApp 25G 網卡升級：</w:t>
      </w:r>
      <w:r>
        <w:rPr>
          <w:rFonts w:ascii="Arial" w:hAnsi="Arial"/>
          <w:color w:val="1C1917"/>
          <w:sz w:val="18"/>
        </w:rPr>
        <w:t>採購 **NetApp Quad Port SFP28 25GbE Ethernet Adapters**，將儲存端點之網路介面頻寬由原本的 10G 躍升 2.5 倍至 25G，單卡提供 4 埠高速通道。</w:t>
      </w:r>
    </w:p>
    <w:p>
      <w:pPr>
        <w:pStyle w:val="ListBullet"/>
        <w:spacing w:before="0" w:after="60" w:line="269" w:lineRule="auto"/>
      </w:pPr>
      <w:r>
        <w:rPr>
          <w:rFonts w:ascii="Arial" w:hAnsi="Arial"/>
          <w:b/>
          <w:color w:val="1C1917"/>
          <w:sz w:val="18"/>
        </w:rPr>
        <w:t>Core Switch 25G 模組：</w:t>
      </w:r>
      <w:r>
        <w:rPr>
          <w:rFonts w:ascii="Arial" w:hAnsi="Arial"/>
          <w:color w:val="1C1917"/>
          <w:sz w:val="18"/>
        </w:rPr>
        <w:t>更換 Core Switch 之模組化線卡（Line Card），增補 25G SFP28 埠位，打通總部機房儲存網路骨幹。</w:t>
      </w:r>
    </w:p>
    <w:p>
      <w:pPr>
        <w:pStyle w:val="ListBullet"/>
        <w:spacing w:before="0" w:after="60" w:line="269" w:lineRule="auto"/>
      </w:pPr>
      <w:r>
        <w:rPr>
          <w:rFonts w:ascii="Arial" w:hAnsi="Arial"/>
          <w:b/>
          <w:color w:val="1C1917"/>
          <w:sz w:val="18"/>
        </w:rPr>
        <w:t>上半年先行施工效益：</w:t>
      </w:r>
      <w:r>
        <w:rPr>
          <w:rFonts w:ascii="Arial" w:hAnsi="Arial"/>
          <w:color w:val="1C1917"/>
          <w:sz w:val="18"/>
        </w:rPr>
        <w:t>即使下半年才採購實體 AI 主機，這筆 85 萬升級案**建議於 2027 年初先行施作**。因為骨幹升至 25G，現有的 D365 備份、MS SQL 叢集同步與大型 BI 報表查詢將立即獲得顯著加速，能第一時間展現 IT 投資成效！</w:t>
      </w:r>
    </w:p>
    <w:p>
      <w:r>
        <w:br w:type="page"/>
      </w:r>
    </w:p>
    <w:p>
      <w:pPr>
        <w:spacing w:before="160" w:after="80"/>
      </w:pPr>
      <w:r>
        <w:rPr>
          <w:rFonts w:ascii="Arial" w:hAnsi="Arial"/>
          <w:b/>
          <w:color w:val="D97706"/>
          <w:sz w:val="22"/>
        </w:rPr>
        <w:t xml:space="preserve">【第八章：資本預算】 </w:t>
      </w:r>
      <w:r>
        <w:rPr>
          <w:rFonts w:ascii="Arial" w:hAnsi="Arial"/>
          <w:b/>
          <w:color w:val="A83212"/>
          <w:sz w:val="30"/>
        </w:rPr>
        <w:t>8.4 DAC (直連銅纜) 替代光纖模組之降本分析與雙迴路 LACP 規劃</w:t>
      </w:r>
    </w:p>
    <w:p>
      <w:pPr>
        <w:spacing w:before="0" w:after="200"/>
      </w:pPr>
      <w:r>
        <w:rPr>
          <w:rFonts w:ascii="Arial" w:hAnsi="Arial"/>
          <w:i/>
          <w:color w:val="78716C"/>
          <w:sz w:val="19"/>
        </w:rPr>
        <w:t>Cabling Optimization · Direct Attach Copper (DAC) Savings &amp; LACP HA Topology</w:t>
      </w:r>
    </w:p>
    <w:p>
      <w:pPr>
        <w:spacing w:before="0" w:after="120" w:line="276" w:lineRule="auto"/>
      </w:pPr>
      <w:r>
        <w:rPr>
          <w:rFonts w:ascii="Arial" w:hAnsi="Arial"/>
          <w:color w:val="1C1917"/>
          <w:sz w:val="19"/>
        </w:rPr>
        <w:t>在落實 85 萬網路升級時，顧問團隊特別向副總與 ITS 提出一項專業的『降本避坑建議』：</w:t>
      </w:r>
    </w:p>
    <w:tbl>
      <w:tblPr>
        <w:tblW w:type="auto" w:w="0"/>
        <w:jc w:val="center"/>
        <w:tblLook w:firstColumn="1" w:firstRow="1" w:lastColumn="0" w:lastRow="0" w:noHBand="0" w:noVBand="1" w:val="04A0"/>
      </w:tblPr>
      <w:tblGrid>
        <w:gridCol w:w="2412"/>
        <w:gridCol w:w="2412"/>
        <w:gridCol w:w="2412"/>
        <w:gridCol w:w="2412"/>
      </w:tblGrid>
      <w:tr>
        <w:tc>
          <w:tcPr>
            <w:tcW w:type="dxa" w:w="2880"/>
            <w:shd w:fill="F5EFEB"/>
            <w:tcMar>
              <w:top w:w="80" w:type="dxa"/>
              <w:bottom w:w="80" w:type="dxa"/>
              <w:left w:w="100" w:type="dxa"/>
              <w:right w:w="100" w:type="dxa"/>
            </w:tcMar>
          </w:tcPr>
          <w:p>
            <w:r>
              <w:rPr>
                <w:rFonts w:ascii="Arial" w:hAnsi="Arial"/>
                <w:b/>
                <w:color w:val="A83212"/>
                <w:sz w:val="17"/>
              </w:rPr>
              <w:t>線材與模組方案</w:t>
            </w:r>
          </w:p>
        </w:tc>
        <w:tc>
          <w:tcPr>
            <w:tcW w:type="dxa" w:w="3168"/>
            <w:shd w:fill="F5EFEB"/>
            <w:tcMar>
              <w:top w:w="80" w:type="dxa"/>
              <w:bottom w:w="80" w:type="dxa"/>
              <w:left w:w="100" w:type="dxa"/>
              <w:right w:w="100" w:type="dxa"/>
            </w:tcMar>
          </w:tcPr>
          <w:p>
            <w:r>
              <w:rPr>
                <w:rFonts w:ascii="Arial" w:hAnsi="Arial"/>
                <w:b/>
                <w:color w:val="A83212"/>
                <w:sz w:val="17"/>
              </w:rPr>
              <w:t>硬體成本與相容性特性</w:t>
            </w:r>
          </w:p>
        </w:tc>
        <w:tc>
          <w:tcPr>
            <w:tcW w:type="dxa" w:w="2304"/>
            <w:shd w:fill="F5EFEB"/>
            <w:tcMar>
              <w:top w:w="80" w:type="dxa"/>
              <w:bottom w:w="80" w:type="dxa"/>
              <w:left w:w="100" w:type="dxa"/>
              <w:right w:w="100" w:type="dxa"/>
            </w:tcMar>
          </w:tcPr>
          <w:p>
            <w:r>
              <w:rPr>
                <w:rFonts w:ascii="Arial" w:hAnsi="Arial"/>
                <w:b/>
                <w:color w:val="A83212"/>
                <w:sz w:val="17"/>
              </w:rPr>
              <w:t>散熱功耗與傳輸延遲</w:t>
            </w:r>
          </w:p>
        </w:tc>
        <w:tc>
          <w:tcPr>
            <w:tcW w:type="dxa" w:w="2016"/>
            <w:shd w:fill="F5EFEB"/>
            <w:tcMar>
              <w:top w:w="80" w:type="dxa"/>
              <w:bottom w:w="80" w:type="dxa"/>
              <w:left w:w="100" w:type="dxa"/>
              <w:right w:w="100" w:type="dxa"/>
            </w:tcMar>
          </w:tcPr>
          <w:p>
            <w:r>
              <w:rPr>
                <w:rFonts w:ascii="Arial" w:hAnsi="Arial"/>
                <w:b/>
                <w:color w:val="A83212"/>
                <w:sz w:val="17"/>
              </w:rPr>
              <w:t>顧問專業建議與採納決策</w:t>
            </w:r>
          </w:p>
        </w:tc>
      </w:tr>
      <w:tr>
        <w:tc>
          <w:tcPr>
            <w:tcW w:type="dxa" w:w="2880"/>
            <w:shd w:fill="FFFFFF"/>
            <w:tcMar>
              <w:top w:w="60" w:type="dxa"/>
              <w:bottom w:w="60" w:type="dxa"/>
              <w:left w:w="100" w:type="dxa"/>
              <w:right w:w="100" w:type="dxa"/>
            </w:tcMar>
          </w:tcPr>
          <w:p>
            <w:r>
              <w:rPr>
                <w:rFonts w:ascii="Arial" w:hAnsi="Arial"/>
                <w:color w:val="1C1917"/>
                <w:sz w:val="16"/>
              </w:rPr>
              <w:t>傳統方案：</w:t>
              <w:br/>
              <w:t>SFP28 光纖模組 ＋</w:t>
              <w:br/>
              <w:t>LC-LC 多模光纖跳線</w:t>
            </w:r>
          </w:p>
        </w:tc>
        <w:tc>
          <w:tcPr>
            <w:tcW w:type="dxa" w:w="3168"/>
            <w:shd w:fill="FFFFFF"/>
            <w:tcMar>
              <w:top w:w="60" w:type="dxa"/>
              <w:bottom w:w="60" w:type="dxa"/>
              <w:left w:w="100" w:type="dxa"/>
              <w:right w:w="100" w:type="dxa"/>
            </w:tcMar>
          </w:tcPr>
          <w:p>
            <w:r>
              <w:rPr>
                <w:rFonts w:ascii="Arial" w:hAnsi="Arial"/>
                <w:color w:val="1C1917"/>
                <w:sz w:val="16"/>
              </w:rPr>
              <w:t>需採購 8 顆 25G 光纖收發模組</w:t>
              <w:br/>
              <w:t>(每顆約 NT$ 6,000~10,000)，</w:t>
              <w:br/>
              <w:t>且易遭遇 Switch 廠牌相容性鎖定。</w:t>
            </w:r>
          </w:p>
        </w:tc>
        <w:tc>
          <w:tcPr>
            <w:tcW w:type="dxa" w:w="2304"/>
            <w:shd w:fill="FFFFFF"/>
            <w:tcMar>
              <w:top w:w="60" w:type="dxa"/>
              <w:bottom w:w="60" w:type="dxa"/>
              <w:left w:w="100" w:type="dxa"/>
              <w:right w:w="100" w:type="dxa"/>
            </w:tcMar>
          </w:tcPr>
          <w:p>
            <w:r>
              <w:rPr>
                <w:rFonts w:ascii="Arial" w:hAnsi="Arial"/>
                <w:color w:val="1C1917"/>
                <w:sz w:val="16"/>
              </w:rPr>
              <w:t>光電轉換功耗約 1.5W/埠</w:t>
              <w:br/>
              <w:t>延遲約 100ns 稍高</w:t>
            </w:r>
          </w:p>
        </w:tc>
        <w:tc>
          <w:tcPr>
            <w:tcW w:type="dxa" w:w="2016"/>
            <w:shd w:fill="FFFFFF"/>
            <w:tcMar>
              <w:top w:w="60" w:type="dxa"/>
              <w:bottom w:w="60" w:type="dxa"/>
              <w:left w:w="100" w:type="dxa"/>
              <w:right w:w="100" w:type="dxa"/>
            </w:tcMar>
          </w:tcPr>
          <w:p>
            <w:r>
              <w:rPr>
                <w:rFonts w:ascii="Arial" w:hAnsi="Arial"/>
                <w:color w:val="1C1917"/>
                <w:sz w:val="16"/>
              </w:rPr>
              <w:t>若設備跨機房或距離 &gt; 7 公尺才需要採用，相鄰機櫃採用此方案純屬浪費。</w:t>
            </w:r>
          </w:p>
        </w:tc>
      </w:tr>
      <w:tr>
        <w:tc>
          <w:tcPr>
            <w:tcW w:type="dxa" w:w="2880"/>
            <w:shd w:fill="FAFAF9"/>
            <w:tcMar>
              <w:top w:w="60" w:type="dxa"/>
              <w:bottom w:w="60" w:type="dxa"/>
              <w:left w:w="100" w:type="dxa"/>
              <w:right w:w="100" w:type="dxa"/>
            </w:tcMar>
          </w:tcPr>
          <w:p>
            <w:r>
              <w:rPr>
                <w:rFonts w:ascii="Arial" w:hAnsi="Arial"/>
                <w:color w:val="1C1917"/>
                <w:sz w:val="16"/>
              </w:rPr>
              <w:t>★ 推薦優化方案：</w:t>
              <w:br/>
              <w:t>25G SFP28 DAC</w:t>
              <w:br/>
              <w:t>(Direct Attach Copper 直連銅纜)</w:t>
            </w:r>
          </w:p>
        </w:tc>
        <w:tc>
          <w:tcPr>
            <w:tcW w:type="dxa" w:w="3168"/>
            <w:shd w:fill="FAFAF9"/>
            <w:tcMar>
              <w:top w:w="60" w:type="dxa"/>
              <w:bottom w:w="60" w:type="dxa"/>
              <w:left w:w="100" w:type="dxa"/>
              <w:right w:w="100" w:type="dxa"/>
            </w:tcMar>
          </w:tcPr>
          <w:p>
            <w:r>
              <w:rPr>
                <w:rFonts w:ascii="Arial" w:hAnsi="Arial"/>
                <w:color w:val="1C1917"/>
                <w:sz w:val="16"/>
              </w:rPr>
              <w:t>★ 成本節省 70%！</w:t>
              <w:br/>
              <w:t>一體成型無光模組費用，</w:t>
              <w:br/>
              <w:t>無廠牌相容性鎖定問題。</w:t>
            </w:r>
          </w:p>
        </w:tc>
        <w:tc>
          <w:tcPr>
            <w:tcW w:type="dxa" w:w="2304"/>
            <w:shd w:fill="FAFAF9"/>
            <w:tcMar>
              <w:top w:w="60" w:type="dxa"/>
              <w:bottom w:w="60" w:type="dxa"/>
              <w:left w:w="100" w:type="dxa"/>
              <w:right w:w="100" w:type="dxa"/>
            </w:tcMar>
          </w:tcPr>
          <w:p>
            <w:r>
              <w:rPr>
                <w:rFonts w:ascii="Arial" w:hAnsi="Arial"/>
                <w:color w:val="1C1917"/>
                <w:sz w:val="16"/>
              </w:rPr>
              <w:t>★ 純無源物理導通，</w:t>
              <w:br/>
              <w:t>功耗趨近於 0W，</w:t>
              <w:br/>
              <w:t>微秒級極致零延遲！</w:t>
            </w:r>
          </w:p>
        </w:tc>
        <w:tc>
          <w:tcPr>
            <w:tcW w:type="dxa" w:w="2016"/>
            <w:shd w:fill="FAFAF9"/>
            <w:tcMar>
              <w:top w:w="60" w:type="dxa"/>
              <w:bottom w:w="60" w:type="dxa"/>
              <w:left w:w="100" w:type="dxa"/>
              <w:right w:w="100" w:type="dxa"/>
            </w:tcMar>
          </w:tcPr>
          <w:p>
            <w:r>
              <w:rPr>
                <w:rFonts w:ascii="Arial" w:hAnsi="Arial"/>
                <w:color w:val="1C1917"/>
                <w:sz w:val="16"/>
              </w:rPr>
              <w:t>★ 採納決策：NetApp 與 Core Switch 位於相鄰機櫃，全面採用 25G DAC 直連銅纜，省下數萬元！</w:t>
            </w:r>
          </w:p>
        </w:tc>
      </w:tr>
    </w:tbl>
    <w:p>
      <w:pPr>
        <w:spacing w:after="80"/>
      </w:pPr>
    </w:p>
    <w:p>
      <w:pPr>
        <w:spacing w:before="0" w:after="120" w:line="276" w:lineRule="auto"/>
      </w:pPr>
      <w:r>
        <w:rPr>
          <w:rFonts w:ascii="Arial" w:hAnsi="Arial"/>
          <w:color w:val="1C1917"/>
          <w:sz w:val="19"/>
        </w:rPr>
        <w:t>同時，NetApp 採購之 Quad Port（4 埠）25G 網卡，規劃以 **2 埠配置 LACP (Link Aggregation) 形成 50G 主幹雙迴路高可用備援（HA）**，其餘 2 埠保留予未來實體 AI 主機直連，架構嚴謹無單點故障。</w:t>
      </w:r>
    </w:p>
    <w:p>
      <w:r>
        <w:br w:type="page"/>
      </w:r>
    </w:p>
    <w:p>
      <w:pPr>
        <w:spacing w:before="160" w:after="80"/>
      </w:pPr>
      <w:r>
        <w:rPr>
          <w:rFonts w:ascii="Arial" w:hAnsi="Arial"/>
          <w:b/>
          <w:color w:val="D97706"/>
          <w:sz w:val="22"/>
        </w:rPr>
        <w:t xml:space="preserve">【第八章：資本預算】 </w:t>
      </w:r>
      <w:r>
        <w:rPr>
          <w:rFonts w:ascii="Arial" w:hAnsi="Arial"/>
          <w:b/>
          <w:color w:val="A83212"/>
          <w:sz w:val="30"/>
        </w:rPr>
        <w:t>8.5 儲存傳輸協定選擇：RDMA / RoCE v2 與 PFC 無損網路防範 GPU 飢餓</w:t>
      </w:r>
    </w:p>
    <w:p>
      <w:pPr>
        <w:spacing w:before="0" w:after="200"/>
      </w:pPr>
      <w:r>
        <w:rPr>
          <w:rFonts w:ascii="Arial" w:hAnsi="Arial"/>
          <w:i/>
          <w:color w:val="78716C"/>
          <w:sz w:val="19"/>
        </w:rPr>
        <w:t>Storage Protocol Selection · RoCE v2, Lossless Ethernet &amp; Priority Flow Control</w:t>
      </w:r>
    </w:p>
    <w:p>
      <w:pPr>
        <w:spacing w:before="0" w:after="120" w:line="276" w:lineRule="auto"/>
      </w:pPr>
      <w:r>
        <w:rPr>
          <w:rFonts w:ascii="Arial" w:hAnsi="Arial"/>
          <w:color w:val="1C1917"/>
          <w:sz w:val="19"/>
        </w:rPr>
        <w:t>當未來實體 AI 主機入駐機房時，訓練演算法將以每秒數十 GB 的速度向 NetApp 抓取成衣款式圖檔與特徵向量。若走傳統 TCP/IP 網路，容易因緩衝區溢滿引發封包丟失與重傳，造成 GPU 算力頻繁等待，這就是業界俗稱的『GPU 飢餓（GPU Starvation）』。</w:t>
      </w:r>
    </w:p>
    <w:p>
      <w:pPr>
        <w:spacing w:before="0" w:after="120" w:line="276" w:lineRule="auto"/>
      </w:pPr>
      <w:r>
        <w:rPr>
          <w:rFonts w:ascii="Arial" w:hAnsi="Arial"/>
          <w:color w:val="1C1917"/>
          <w:sz w:val="19"/>
        </w:rPr>
        <w:t>顧問團隊在第一階段為信源鋪設了支援 **RDMA over Converged Ethernet (RoCE v2)** 的無損網路（Lossless Ethernet）技術基礎：</w:t>
      </w:r>
    </w:p>
    <w:p>
      <w:pPr>
        <w:pStyle w:val="ListBullet"/>
        <w:spacing w:before="0" w:after="60" w:line="269" w:lineRule="auto"/>
      </w:pPr>
      <w:r>
        <w:rPr>
          <w:rFonts w:ascii="Arial" w:hAnsi="Arial"/>
          <w:b/>
          <w:color w:val="1C1917"/>
          <w:sz w:val="18"/>
        </w:rPr>
        <w:t>1. RDMA 記憶體直連：</w:t>
      </w:r>
      <w:r>
        <w:rPr>
          <w:rFonts w:ascii="Arial" w:hAnsi="Arial"/>
          <w:color w:val="1C1917"/>
          <w:sz w:val="18"/>
        </w:rPr>
        <w:t>允許 GPU 直接繞過作業系統 CPU 核心，以零拷貝（Zero-Copy）方式直接讀取 NetApp 儲存記憶體，傳輸延遲由毫秒級降至微秒級！</w:t>
      </w:r>
    </w:p>
    <w:p>
      <w:pPr>
        <w:pStyle w:val="ListBullet"/>
        <w:spacing w:before="0" w:after="60" w:line="269" w:lineRule="auto"/>
      </w:pPr>
      <w:r>
        <w:rPr>
          <w:rFonts w:ascii="Arial" w:hAnsi="Arial"/>
          <w:b/>
          <w:color w:val="1C1917"/>
          <w:sz w:val="18"/>
        </w:rPr>
        <w:t>2. PFC 優先流控防掉包：</w:t>
      </w:r>
      <w:r>
        <w:rPr>
          <w:rFonts w:ascii="Arial" w:hAnsi="Arial"/>
          <w:color w:val="1C1917"/>
          <w:sz w:val="18"/>
        </w:rPr>
        <w:t>核定 Core Switch 更換之 25G 模組必須支援 **PFC (Priority Flow Control)** 與 **ECN (Explicit Congestion Notification)** 協定，當網路擁塞時以硬體流控精準暫停特定優先佇列，保證 100% 零掉包！</w:t>
      </w:r>
    </w:p>
    <w:p>
      <w:pPr>
        <w:pStyle w:val="ListBullet"/>
        <w:spacing w:before="0" w:after="60" w:line="269" w:lineRule="auto"/>
      </w:pPr>
      <w:r>
        <w:rPr>
          <w:rFonts w:ascii="Arial" w:hAnsi="Arial"/>
          <w:b/>
          <w:color w:val="1C1917"/>
          <w:sz w:val="18"/>
        </w:rPr>
        <w:t>3. 階段性向下相容：</w:t>
      </w:r>
      <w:r>
        <w:rPr>
          <w:rFonts w:ascii="Arial" w:hAnsi="Arial"/>
          <w:color w:val="1C1917"/>
          <w:sz w:val="18"/>
        </w:rPr>
        <w:t>第一階段先以標準 NFS 支援 ERP 備份，保留 RoCE v2 能力，下半年 AI 主機進駐時秒級啟用，無縫銜接。</w:t>
      </w:r>
    </w:p>
    <w:p>
      <w:r>
        <w:br w:type="page"/>
      </w:r>
    </w:p>
    <w:p>
      <w:pPr>
        <w:spacing w:before="160" w:after="80"/>
      </w:pPr>
      <w:r>
        <w:rPr>
          <w:rFonts w:ascii="Arial" w:hAnsi="Arial"/>
          <w:b/>
          <w:color w:val="D97706"/>
          <w:sz w:val="22"/>
        </w:rPr>
        <w:t xml:space="preserve">【第八章：資本預算】 </w:t>
      </w:r>
      <w:r>
        <w:rPr>
          <w:rFonts w:ascii="Arial" w:hAnsi="Arial"/>
          <w:b/>
          <w:color w:val="A83212"/>
          <w:sz w:val="30"/>
        </w:rPr>
        <w:t>8.6 外部系統整合開發費內部自行承接（歸零省下 80~120 萬元）</w:t>
      </w:r>
    </w:p>
    <w:p>
      <w:pPr>
        <w:spacing w:before="0" w:after="200"/>
      </w:pPr>
      <w:r>
        <w:rPr>
          <w:rFonts w:ascii="Arial" w:hAnsi="Arial"/>
          <w:i/>
          <w:color w:val="78716C"/>
          <w:sz w:val="19"/>
        </w:rPr>
        <w:t>System Integration (SI) Strategy · In-House Delivery &amp; Budget Elimination</w:t>
      </w:r>
    </w:p>
    <w:p>
      <w:pPr>
        <w:spacing w:before="0" w:after="120" w:line="276" w:lineRule="auto"/>
      </w:pPr>
      <w:r>
        <w:rPr>
          <w:rFonts w:ascii="Arial" w:hAnsi="Arial"/>
          <w:color w:val="1C1917"/>
          <w:sz w:val="19"/>
        </w:rPr>
        <w:t>周副總在會談中詢問：『我不清楚外部系統整合開發費指的是什麼？』</w:t>
      </w:r>
    </w:p>
    <w:p>
      <w:pPr>
        <w:spacing w:before="0" w:after="120" w:line="276" w:lineRule="auto"/>
      </w:pPr>
      <w:r>
        <w:rPr>
          <w:rFonts w:ascii="Arial" w:hAnsi="Arial"/>
          <w:color w:val="1C1917"/>
          <w:sz w:val="19"/>
        </w:rPr>
        <w:t>顧問向副總深入解說：外部整合費指聘請外部軟體廠商（SI），將 AI 模型的運算結果介接到信源現有的 C# .NET ERP、MES 畫面按鈕（例如在業務報價畫面上加一顆『以圖找圖自動帶出工藝』之按鈕）。若外包給系統整合商，市場行情通常需編列 **NT$ 80～120 萬元**。</w:t>
      </w:r>
    </w:p>
    <w:tbl>
      <w:tblPr>
        <w:tblW w:type="auto" w:w="0"/>
        <w:jc w:val="center"/>
        <w:tblLook w:firstColumn="1" w:firstRow="1" w:lastColumn="0" w:lastRow="0" w:noHBand="0" w:noVBand="1" w:val="04A0"/>
      </w:tblPr>
      <w:tblGrid>
        <w:gridCol w:w="2412"/>
        <w:gridCol w:w="2412"/>
        <w:gridCol w:w="2412"/>
        <w:gridCol w:w="2412"/>
      </w:tblGrid>
      <w:tr>
        <w:tc>
          <w:tcPr>
            <w:tcW w:type="dxa" w:w="2880"/>
            <w:shd w:fill="F5EFEB"/>
            <w:tcMar>
              <w:top w:w="80" w:type="dxa"/>
              <w:bottom w:w="80" w:type="dxa"/>
              <w:left w:w="100" w:type="dxa"/>
              <w:right w:w="100" w:type="dxa"/>
            </w:tcMar>
          </w:tcPr>
          <w:p>
            <w:r>
              <w:rPr>
                <w:rFonts w:ascii="Arial" w:hAnsi="Arial"/>
                <w:b/>
                <w:color w:val="A83212"/>
                <w:sz w:val="17"/>
              </w:rPr>
              <w:t>整合實施路線</w:t>
            </w:r>
          </w:p>
        </w:tc>
        <w:tc>
          <w:tcPr>
            <w:tcW w:type="dxa" w:w="3168"/>
            <w:shd w:fill="F5EFEB"/>
            <w:tcMar>
              <w:top w:w="80" w:type="dxa"/>
              <w:bottom w:w="80" w:type="dxa"/>
              <w:left w:w="100" w:type="dxa"/>
              <w:right w:w="100" w:type="dxa"/>
            </w:tcMar>
          </w:tcPr>
          <w:p>
            <w:r>
              <w:rPr>
                <w:rFonts w:ascii="Arial" w:hAnsi="Arial"/>
                <w:b/>
                <w:color w:val="A83212"/>
                <w:sz w:val="17"/>
              </w:rPr>
              <w:t>執行團隊與技術能力要求</w:t>
            </w:r>
          </w:p>
        </w:tc>
        <w:tc>
          <w:tcPr>
            <w:tcW w:type="dxa" w:w="2592"/>
            <w:shd w:fill="F5EFEB"/>
            <w:tcMar>
              <w:top w:w="80" w:type="dxa"/>
              <w:bottom w:w="80" w:type="dxa"/>
              <w:left w:w="100" w:type="dxa"/>
              <w:right w:w="100" w:type="dxa"/>
            </w:tcMar>
          </w:tcPr>
          <w:p>
            <w:r>
              <w:rPr>
                <w:rFonts w:ascii="Arial" w:hAnsi="Arial"/>
                <w:b/>
                <w:color w:val="A83212"/>
                <w:sz w:val="17"/>
              </w:rPr>
              <w:t>預估預算開銷</w:t>
            </w:r>
          </w:p>
        </w:tc>
        <w:tc>
          <w:tcPr>
            <w:tcW w:type="dxa" w:w="1728"/>
            <w:shd w:fill="F5EFEB"/>
            <w:tcMar>
              <w:top w:w="80" w:type="dxa"/>
              <w:bottom w:w="80" w:type="dxa"/>
              <w:left w:w="100" w:type="dxa"/>
              <w:right w:w="100" w:type="dxa"/>
            </w:tcMar>
          </w:tcPr>
          <w:p>
            <w:r>
              <w:rPr>
                <w:rFonts w:ascii="Arial" w:hAnsi="Arial"/>
                <w:b/>
                <w:color w:val="A83212"/>
                <w:sz w:val="17"/>
              </w:rPr>
              <w:t>對信源集團之深遠價值</w:t>
            </w:r>
          </w:p>
        </w:tc>
      </w:tr>
      <w:tr>
        <w:tc>
          <w:tcPr>
            <w:tcW w:type="dxa" w:w="2880"/>
            <w:shd w:fill="FFFFFF"/>
            <w:tcMar>
              <w:top w:w="60" w:type="dxa"/>
              <w:bottom w:w="60" w:type="dxa"/>
              <w:left w:w="100" w:type="dxa"/>
              <w:right w:w="100" w:type="dxa"/>
            </w:tcMar>
          </w:tcPr>
          <w:p>
            <w:r>
              <w:rPr>
                <w:rFonts w:ascii="Arial" w:hAnsi="Arial"/>
                <w:color w:val="1C1917"/>
                <w:sz w:val="16"/>
              </w:rPr>
              <w:t>傳統外包路線</w:t>
              <w:br/>
              <w:t>(Vendor SI Delivery)</w:t>
            </w:r>
          </w:p>
        </w:tc>
        <w:tc>
          <w:tcPr>
            <w:tcW w:type="dxa" w:w="3168"/>
            <w:shd w:fill="FFFFFF"/>
            <w:tcMar>
              <w:top w:w="60" w:type="dxa"/>
              <w:bottom w:w="60" w:type="dxa"/>
              <w:left w:w="100" w:type="dxa"/>
              <w:right w:w="100" w:type="dxa"/>
            </w:tcMar>
          </w:tcPr>
          <w:p>
            <w:r>
              <w:rPr>
                <w:rFonts w:ascii="Arial" w:hAnsi="Arial"/>
                <w:color w:val="1C1917"/>
                <w:sz w:val="16"/>
              </w:rPr>
              <w:t>依賴外部軟體廠商指派工程師，</w:t>
              <w:br/>
              <w:t>將 API 與 ERP 畫面硬編碼串接。</w:t>
            </w:r>
          </w:p>
        </w:tc>
        <w:tc>
          <w:tcPr>
            <w:tcW w:type="dxa" w:w="2592"/>
            <w:shd w:fill="FFFFFF"/>
            <w:tcMar>
              <w:top w:w="60" w:type="dxa"/>
              <w:bottom w:w="60" w:type="dxa"/>
              <w:left w:w="100" w:type="dxa"/>
              <w:right w:w="100" w:type="dxa"/>
            </w:tcMar>
          </w:tcPr>
          <w:p>
            <w:r>
              <w:rPr>
                <w:rFonts w:ascii="Arial" w:hAnsi="Arial"/>
                <w:color w:val="1C1917"/>
                <w:sz w:val="16"/>
              </w:rPr>
              <w:t>需編列委外技術服務費</w:t>
              <w:br/>
              <w:t>約 NT$ 800,000 ~ 1,200,000</w:t>
            </w:r>
          </w:p>
        </w:tc>
        <w:tc>
          <w:tcPr>
            <w:tcW w:type="dxa" w:w="1728"/>
            <w:shd w:fill="FFFFFF"/>
            <w:tcMar>
              <w:top w:w="60" w:type="dxa"/>
              <w:bottom w:w="60" w:type="dxa"/>
              <w:left w:w="100" w:type="dxa"/>
              <w:right w:w="100" w:type="dxa"/>
            </w:tcMar>
          </w:tcPr>
          <w:p>
            <w:r>
              <w:rPr>
                <w:rFonts w:ascii="Arial" w:hAnsi="Arial"/>
                <w:color w:val="1C1917"/>
                <w:sz w:val="16"/>
              </w:rPr>
              <w:t>外包廠商流動率高，專案結案後易引發維護孤兒，長期維護成本不可控。</w:t>
            </w:r>
          </w:p>
        </w:tc>
      </w:tr>
      <w:tr>
        <w:tc>
          <w:tcPr>
            <w:tcW w:type="dxa" w:w="2880"/>
            <w:shd w:fill="FAFAF9"/>
            <w:tcMar>
              <w:top w:w="60" w:type="dxa"/>
              <w:bottom w:w="60" w:type="dxa"/>
              <w:left w:w="100" w:type="dxa"/>
              <w:right w:w="100" w:type="dxa"/>
            </w:tcMar>
          </w:tcPr>
          <w:p>
            <w:r>
              <w:rPr>
                <w:rFonts w:ascii="Arial" w:hAnsi="Arial"/>
                <w:color w:val="1C1917"/>
                <w:sz w:val="16"/>
              </w:rPr>
              <w:t>★ 顧問推薦內部自研</w:t>
              <w:br/>
              <w:t>(In-House C# Team)</w:t>
            </w:r>
          </w:p>
        </w:tc>
        <w:tc>
          <w:tcPr>
            <w:tcW w:type="dxa" w:w="3168"/>
            <w:shd w:fill="FAFAF9"/>
            <w:tcMar>
              <w:top w:w="60" w:type="dxa"/>
              <w:bottom w:w="60" w:type="dxa"/>
              <w:left w:w="100" w:type="dxa"/>
              <w:right w:w="100" w:type="dxa"/>
            </w:tcMar>
          </w:tcPr>
          <w:p>
            <w:r>
              <w:rPr>
                <w:rFonts w:ascii="Arial" w:hAnsi="Arial"/>
                <w:color w:val="1C1917"/>
                <w:sz w:val="16"/>
              </w:rPr>
              <w:t>★ 信源內部 16 位同仁具備 C# API</w:t>
              <w:br/>
              <w:t>與 Vue 3 實力，由內部團隊自主承接！</w:t>
            </w:r>
          </w:p>
        </w:tc>
        <w:tc>
          <w:tcPr>
            <w:tcW w:type="dxa" w:w="2592"/>
            <w:shd w:fill="FAFAF9"/>
            <w:tcMar>
              <w:top w:w="60" w:type="dxa"/>
              <w:bottom w:w="60" w:type="dxa"/>
              <w:left w:w="100" w:type="dxa"/>
              <w:right w:w="100" w:type="dxa"/>
            </w:tcMar>
          </w:tcPr>
          <w:p>
            <w:r>
              <w:rPr>
                <w:rFonts w:ascii="Arial" w:hAnsi="Arial"/>
                <w:color w:val="1C1917"/>
                <w:sz w:val="16"/>
              </w:rPr>
              <w:t>★ 外部預算調整為【0 元】！</w:t>
              <w:br/>
              <w:t>(整筆 80~120 萬完全省下！)</w:t>
            </w:r>
          </w:p>
        </w:tc>
        <w:tc>
          <w:tcPr>
            <w:tcW w:type="dxa" w:w="1728"/>
            <w:shd w:fill="FAFAF9"/>
            <w:tcMar>
              <w:top w:w="60" w:type="dxa"/>
              <w:bottom w:w="60" w:type="dxa"/>
              <w:left w:w="100" w:type="dxa"/>
              <w:right w:w="100" w:type="dxa"/>
            </w:tcMar>
          </w:tcPr>
          <w:p>
            <w:r>
              <w:rPr>
                <w:rFonts w:ascii="Arial" w:hAnsi="Arial"/>
                <w:color w:val="1C1917"/>
                <w:sz w:val="16"/>
              </w:rPr>
              <w:t>★ 鍛鍊內部同仁現代化開發能力，代碼完全自主掌控，為信源培育終身技術資產！</w:t>
            </w:r>
          </w:p>
        </w:tc>
      </w:tr>
    </w:tbl>
    <w:p>
      <w:pPr>
        <w:spacing w:after="80"/>
      </w:pPr>
    </w:p>
    <w:p>
      <w:r>
        <w:br w:type="page"/>
      </w:r>
    </w:p>
    <w:p>
      <w:pPr>
        <w:spacing w:before="160" w:after="80"/>
      </w:pPr>
      <w:r>
        <w:rPr>
          <w:rFonts w:ascii="Arial" w:hAnsi="Arial"/>
          <w:b/>
          <w:color w:val="D97706"/>
          <w:sz w:val="22"/>
        </w:rPr>
        <w:t xml:space="preserve">【第八章：資本預算】 </w:t>
      </w:r>
      <w:r>
        <w:rPr>
          <w:rFonts w:ascii="Arial" w:hAnsi="Arial"/>
          <w:b/>
          <w:color w:val="A83212"/>
          <w:sz w:val="30"/>
        </w:rPr>
        <w:t>8.7 2027 IT 資本預算優化總表：有軟有硬有工有雲的完整配置</w:t>
      </w:r>
    </w:p>
    <w:p>
      <w:pPr>
        <w:spacing w:before="0" w:after="200"/>
      </w:pPr>
      <w:r>
        <w:rPr>
          <w:rFonts w:ascii="Arial" w:hAnsi="Arial"/>
          <w:i/>
          <w:color w:val="78716C"/>
          <w:sz w:val="19"/>
        </w:rPr>
        <w:t>2027 Capital Budget Blueprint · Balanced, Auditable &amp; Executive Portfolio</w:t>
      </w:r>
    </w:p>
    <w:p>
      <w:pPr>
        <w:spacing w:before="0" w:after="120" w:line="276" w:lineRule="auto"/>
      </w:pPr>
      <w:r>
        <w:rPr>
          <w:rFonts w:ascii="Arial" w:hAnsi="Arial"/>
          <w:color w:val="1C1917"/>
          <w:sz w:val="19"/>
        </w:rPr>
        <w:t>經過本次戰略對齊，信源全球 2027 年 IT 資本預算徹底告別了過去『只有單買一台硬體大主機、缺乏周邊配套』的粗放結構，優化為**『有軟、有硬、有工、有雲』**的五位一體高成熟度配置：</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預算分類與項目</w:t>
            </w:r>
          </w:p>
        </w:tc>
        <w:tc>
          <w:tcPr>
            <w:tcW w:type="dxa" w:w="2592"/>
            <w:shd w:fill="F5EFEB"/>
            <w:tcMar>
              <w:top w:w="80" w:type="dxa"/>
              <w:bottom w:w="80" w:type="dxa"/>
              <w:left w:w="100" w:type="dxa"/>
              <w:right w:w="100" w:type="dxa"/>
            </w:tcMar>
          </w:tcPr>
          <w:p>
            <w:r>
              <w:rPr>
                <w:rFonts w:ascii="Arial" w:hAnsi="Arial"/>
                <w:b/>
                <w:color w:val="A83212"/>
                <w:sz w:val="17"/>
              </w:rPr>
              <w:t>原始 ITS 初編規劃</w:t>
            </w:r>
          </w:p>
        </w:tc>
        <w:tc>
          <w:tcPr>
            <w:tcW w:type="dxa" w:w="2880"/>
            <w:shd w:fill="F5EFEB"/>
            <w:tcMar>
              <w:top w:w="80" w:type="dxa"/>
              <w:bottom w:w="80" w:type="dxa"/>
              <w:left w:w="100" w:type="dxa"/>
              <w:right w:w="100" w:type="dxa"/>
            </w:tcMar>
          </w:tcPr>
          <w:p>
            <w:r>
              <w:rPr>
                <w:rFonts w:ascii="Arial" w:hAnsi="Arial"/>
                <w:b/>
                <w:color w:val="A83212"/>
                <w:sz w:val="17"/>
              </w:rPr>
              <w:t>對齊後顧問建議與調整共識</w:t>
            </w:r>
          </w:p>
        </w:tc>
        <w:tc>
          <w:tcPr>
            <w:tcW w:type="dxa" w:w="2304"/>
            <w:shd w:fill="F5EFEB"/>
            <w:tcMar>
              <w:top w:w="80" w:type="dxa"/>
              <w:bottom w:w="80" w:type="dxa"/>
              <w:left w:w="100" w:type="dxa"/>
              <w:right w:w="100" w:type="dxa"/>
            </w:tcMar>
          </w:tcPr>
          <w:p>
            <w:r>
              <w:rPr>
                <w:rFonts w:ascii="Arial" w:hAnsi="Arial"/>
                <w:b/>
                <w:color w:val="A83212"/>
                <w:sz w:val="17"/>
              </w:rPr>
              <w:t>調整後實質財務效益與策略意義</w:t>
            </w:r>
          </w:p>
        </w:tc>
      </w:tr>
      <w:tr>
        <w:tc>
          <w:tcPr>
            <w:tcW w:type="dxa" w:w="2592"/>
            <w:shd w:fill="FFFFFF"/>
            <w:tcMar>
              <w:top w:w="60" w:type="dxa"/>
              <w:bottom w:w="60" w:type="dxa"/>
              <w:left w:w="100" w:type="dxa"/>
              <w:right w:w="100" w:type="dxa"/>
            </w:tcMar>
          </w:tcPr>
          <w:p>
            <w:r>
              <w:rPr>
                <w:rFonts w:ascii="Arial" w:hAnsi="Arial"/>
                <w:color w:val="1C1917"/>
                <w:sz w:val="16"/>
              </w:rPr>
              <w:t>1. 總部 AI 實體主機</w:t>
            </w:r>
          </w:p>
        </w:tc>
        <w:tc>
          <w:tcPr>
            <w:tcW w:type="dxa" w:w="2592"/>
            <w:shd w:fill="FFFFFF"/>
            <w:tcMar>
              <w:top w:w="60" w:type="dxa"/>
              <w:bottom w:w="60" w:type="dxa"/>
              <w:left w:w="100" w:type="dxa"/>
              <w:right w:w="100" w:type="dxa"/>
            </w:tcMar>
          </w:tcPr>
          <w:p>
            <w:r>
              <w:rPr>
                <w:rFonts w:ascii="Arial" w:hAnsi="Arial"/>
                <w:color w:val="1C1917"/>
                <w:sz w:val="16"/>
              </w:rPr>
              <w:t>450 萬元 (年初一次買斷)</w:t>
            </w:r>
          </w:p>
        </w:tc>
        <w:tc>
          <w:tcPr>
            <w:tcW w:type="dxa" w:w="2880"/>
            <w:shd w:fill="FFFFFF"/>
            <w:tcMar>
              <w:top w:w="60" w:type="dxa"/>
              <w:bottom w:w="60" w:type="dxa"/>
              <w:left w:w="100" w:type="dxa"/>
              <w:right w:w="100" w:type="dxa"/>
            </w:tcMar>
          </w:tcPr>
          <w:p>
            <w:r>
              <w:rPr>
                <w:rFonts w:ascii="Arial" w:hAnsi="Arial"/>
                <w:color w:val="1C1917"/>
                <w:sz w:val="16"/>
              </w:rPr>
              <w:t>預算保留額度，採分段驗收採購</w:t>
              <w:br/>
              <w:t>(下半年業務量達標再下單)</w:t>
            </w:r>
          </w:p>
        </w:tc>
        <w:tc>
          <w:tcPr>
            <w:tcW w:type="dxa" w:w="2304"/>
            <w:shd w:fill="FFFFFF"/>
            <w:tcMar>
              <w:top w:w="60" w:type="dxa"/>
              <w:bottom w:w="60" w:type="dxa"/>
              <w:left w:w="100" w:type="dxa"/>
              <w:right w:w="100" w:type="dxa"/>
            </w:tcMar>
          </w:tcPr>
          <w:p>
            <w:r>
              <w:rPr>
                <w:rFonts w:ascii="Arial" w:hAnsi="Arial"/>
                <w:color w:val="1C1917"/>
                <w:sz w:val="16"/>
              </w:rPr>
              <w:t>★ 避免前期算力閒置，</w:t>
              <w:br/>
              <w:t>每年現省 150 萬元硬體折舊！</w:t>
            </w:r>
          </w:p>
        </w:tc>
      </w:tr>
      <w:tr>
        <w:tc>
          <w:tcPr>
            <w:tcW w:type="dxa" w:w="2592"/>
            <w:shd w:fill="FAFAF9"/>
            <w:tcMar>
              <w:top w:w="60" w:type="dxa"/>
              <w:bottom w:w="60" w:type="dxa"/>
              <w:left w:w="100" w:type="dxa"/>
              <w:right w:w="100" w:type="dxa"/>
            </w:tcMar>
          </w:tcPr>
          <w:p>
            <w:r>
              <w:rPr>
                <w:rFonts w:ascii="Arial" w:hAnsi="Arial"/>
                <w:color w:val="1C1917"/>
                <w:sz w:val="16"/>
              </w:rPr>
              <w:t>2. 總部網路與儲存</w:t>
            </w:r>
          </w:p>
        </w:tc>
        <w:tc>
          <w:tcPr>
            <w:tcW w:type="dxa" w:w="2592"/>
            <w:shd w:fill="FAFAF9"/>
            <w:tcMar>
              <w:top w:w="60" w:type="dxa"/>
              <w:bottom w:w="60" w:type="dxa"/>
              <w:left w:w="100" w:type="dxa"/>
              <w:right w:w="100" w:type="dxa"/>
            </w:tcMar>
          </w:tcPr>
          <w:p>
            <w:r>
              <w:rPr>
                <w:rFonts w:ascii="Arial" w:hAnsi="Arial"/>
                <w:color w:val="1C1917"/>
                <w:sz w:val="16"/>
              </w:rPr>
              <w:t>約 85 萬元 (網卡＋模組)</w:t>
            </w:r>
          </w:p>
        </w:tc>
        <w:tc>
          <w:tcPr>
            <w:tcW w:type="dxa" w:w="2880"/>
            <w:shd w:fill="FAFAF9"/>
            <w:tcMar>
              <w:top w:w="60" w:type="dxa"/>
              <w:bottom w:w="60" w:type="dxa"/>
              <w:left w:w="100" w:type="dxa"/>
              <w:right w:w="100" w:type="dxa"/>
            </w:tcMar>
          </w:tcPr>
          <w:p>
            <w:r>
              <w:rPr>
                <w:rFonts w:ascii="Arial" w:hAnsi="Arial"/>
                <w:color w:val="1C1917"/>
                <w:sz w:val="16"/>
              </w:rPr>
              <w:t>維持編列 85 萬元，方向正確</w:t>
              <w:br/>
              <w:t>(採 DAC 直連線降本，上半年完工)</w:t>
            </w:r>
          </w:p>
        </w:tc>
        <w:tc>
          <w:tcPr>
            <w:tcW w:type="dxa" w:w="2304"/>
            <w:shd w:fill="FAFAF9"/>
            <w:tcMar>
              <w:top w:w="60" w:type="dxa"/>
              <w:bottom w:w="60" w:type="dxa"/>
              <w:left w:w="100" w:type="dxa"/>
              <w:right w:w="100" w:type="dxa"/>
            </w:tcMar>
          </w:tcPr>
          <w:p>
            <w:r>
              <w:rPr>
                <w:rFonts w:ascii="Arial" w:hAnsi="Arial"/>
                <w:color w:val="1C1917"/>
                <w:sz w:val="16"/>
              </w:rPr>
              <w:t>打通傳輸骨幹，現有 ERP 備份與報表查詢立即受惠。</w:t>
            </w:r>
          </w:p>
        </w:tc>
      </w:tr>
      <w:tr>
        <w:tc>
          <w:tcPr>
            <w:tcW w:type="dxa" w:w="2592"/>
            <w:shd w:fill="FFFFFF"/>
            <w:tcMar>
              <w:top w:w="60" w:type="dxa"/>
              <w:bottom w:w="60" w:type="dxa"/>
              <w:left w:w="100" w:type="dxa"/>
              <w:right w:w="100" w:type="dxa"/>
            </w:tcMar>
          </w:tcPr>
          <w:p>
            <w:r>
              <w:rPr>
                <w:rFonts w:ascii="Arial" w:hAnsi="Arial"/>
                <w:color w:val="1C1917"/>
                <w:sz w:val="16"/>
              </w:rPr>
              <w:t>3. 海外廠邊緣主機</w:t>
            </w:r>
          </w:p>
        </w:tc>
        <w:tc>
          <w:tcPr>
            <w:tcW w:type="dxa" w:w="2592"/>
            <w:shd w:fill="FFFFFF"/>
            <w:tcMar>
              <w:top w:w="60" w:type="dxa"/>
              <w:bottom w:w="60" w:type="dxa"/>
              <w:left w:w="100" w:type="dxa"/>
              <w:right w:w="100" w:type="dxa"/>
            </w:tcMar>
          </w:tcPr>
          <w:p>
            <w:r>
              <w:rPr>
                <w:rFonts w:ascii="Arial" w:hAnsi="Arial"/>
                <w:color w:val="1C1917"/>
                <w:sz w:val="16"/>
              </w:rPr>
              <w:t>原未明確編列</w:t>
            </w:r>
          </w:p>
        </w:tc>
        <w:tc>
          <w:tcPr>
            <w:tcW w:type="dxa" w:w="2880"/>
            <w:shd w:fill="FFFFFF"/>
            <w:tcMar>
              <w:top w:w="60" w:type="dxa"/>
              <w:bottom w:w="60" w:type="dxa"/>
              <w:left w:w="100" w:type="dxa"/>
              <w:right w:w="100" w:type="dxa"/>
            </w:tcMar>
          </w:tcPr>
          <w:p>
            <w:r>
              <w:rPr>
                <w:rFonts w:ascii="Arial" w:hAnsi="Arial"/>
                <w:color w:val="1C1917"/>
                <w:sz w:val="16"/>
              </w:rPr>
              <w:t>採購 ASUS Ascent GX10</w:t>
              <w:br/>
              <w:t>(越/柬/爪哇合計約 60~80 萬元)</w:t>
            </w:r>
          </w:p>
        </w:tc>
        <w:tc>
          <w:tcPr>
            <w:tcW w:type="dxa" w:w="2304"/>
            <w:shd w:fill="FFFFFF"/>
            <w:tcMar>
              <w:top w:w="60" w:type="dxa"/>
              <w:bottom w:w="60" w:type="dxa"/>
              <w:left w:w="100" w:type="dxa"/>
              <w:right w:w="100" w:type="dxa"/>
            </w:tcMar>
          </w:tcPr>
          <w:p>
            <w:r>
              <w:rPr>
                <w:rFonts w:ascii="Arial" w:hAnsi="Arial"/>
                <w:color w:val="1C1917"/>
                <w:sz w:val="16"/>
              </w:rPr>
              <w:t>輕量耐用，保障海外工廠 48~72h 離線自律生產不停擺。</w:t>
            </w:r>
          </w:p>
        </w:tc>
      </w:tr>
      <w:tr>
        <w:tc>
          <w:tcPr>
            <w:tcW w:type="dxa" w:w="2592"/>
            <w:shd w:fill="FAFAF9"/>
            <w:tcMar>
              <w:top w:w="60" w:type="dxa"/>
              <w:bottom w:w="60" w:type="dxa"/>
              <w:left w:w="100" w:type="dxa"/>
              <w:right w:w="100" w:type="dxa"/>
            </w:tcMar>
          </w:tcPr>
          <w:p>
            <w:r>
              <w:rPr>
                <w:rFonts w:ascii="Arial" w:hAnsi="Arial"/>
                <w:color w:val="1C1917"/>
                <w:sz w:val="16"/>
              </w:rPr>
              <w:t>4. AWS 雲端算力 OpEx</w:t>
            </w:r>
          </w:p>
        </w:tc>
        <w:tc>
          <w:tcPr>
            <w:tcW w:type="dxa" w:w="2592"/>
            <w:shd w:fill="FAFAF9"/>
            <w:tcMar>
              <w:top w:w="60" w:type="dxa"/>
              <w:bottom w:w="60" w:type="dxa"/>
              <w:left w:w="100" w:type="dxa"/>
              <w:right w:w="100" w:type="dxa"/>
            </w:tcMar>
          </w:tcPr>
          <w:p>
            <w:r>
              <w:rPr>
                <w:rFonts w:ascii="Arial" w:hAnsi="Arial"/>
                <w:color w:val="1C1917"/>
                <w:sz w:val="16"/>
              </w:rPr>
              <w:t>原未單獨編列</w:t>
            </w:r>
          </w:p>
        </w:tc>
        <w:tc>
          <w:tcPr>
            <w:tcW w:type="dxa" w:w="2880"/>
            <w:shd w:fill="FAFAF9"/>
            <w:tcMar>
              <w:top w:w="60" w:type="dxa"/>
              <w:bottom w:w="60" w:type="dxa"/>
              <w:left w:w="100" w:type="dxa"/>
              <w:right w:w="100" w:type="dxa"/>
            </w:tcMar>
          </w:tcPr>
          <w:p>
            <w:r>
              <w:rPr>
                <w:rFonts w:ascii="Arial" w:hAnsi="Arial"/>
                <w:color w:val="1C1917"/>
                <w:sz w:val="16"/>
              </w:rPr>
              <w:t>確認全年度約 30～50 萬元</w:t>
              <w:br/>
              <w:t>(平均每月僅約 3～4 萬元)</w:t>
            </w:r>
          </w:p>
        </w:tc>
        <w:tc>
          <w:tcPr>
            <w:tcW w:type="dxa" w:w="2304"/>
            <w:shd w:fill="FAFAF9"/>
            <w:tcMar>
              <w:top w:w="60" w:type="dxa"/>
              <w:bottom w:w="60" w:type="dxa"/>
              <w:left w:w="100" w:type="dxa"/>
              <w:right w:w="100" w:type="dxa"/>
            </w:tcMar>
          </w:tcPr>
          <w:p>
            <w:r>
              <w:rPr>
                <w:rFonts w:ascii="Arial" w:hAnsi="Arial"/>
                <w:color w:val="1C1917"/>
                <w:sz w:val="16"/>
              </w:rPr>
              <w:t>以最低成本支撐 Tech Pack 翻譯與去識別化圖檔比對。</w:t>
            </w:r>
          </w:p>
        </w:tc>
      </w:tr>
      <w:tr>
        <w:tc>
          <w:tcPr>
            <w:tcW w:type="dxa" w:w="2592"/>
            <w:shd w:fill="FFFFFF"/>
            <w:tcMar>
              <w:top w:w="60" w:type="dxa"/>
              <w:bottom w:w="60" w:type="dxa"/>
              <w:left w:w="100" w:type="dxa"/>
              <w:right w:w="100" w:type="dxa"/>
            </w:tcMar>
          </w:tcPr>
          <w:p>
            <w:r>
              <w:rPr>
                <w:rFonts w:ascii="Arial" w:hAnsi="Arial"/>
                <w:color w:val="1C1917"/>
                <w:sz w:val="16"/>
              </w:rPr>
              <w:t>5. 外部系統整合 (SI)</w:t>
            </w:r>
          </w:p>
        </w:tc>
        <w:tc>
          <w:tcPr>
            <w:tcW w:type="dxa" w:w="2592"/>
            <w:shd w:fill="FFFFFF"/>
            <w:tcMar>
              <w:top w:w="60" w:type="dxa"/>
              <w:bottom w:w="60" w:type="dxa"/>
              <w:left w:w="100" w:type="dxa"/>
              <w:right w:w="100" w:type="dxa"/>
            </w:tcMar>
          </w:tcPr>
          <w:p>
            <w:r>
              <w:rPr>
                <w:rFonts w:ascii="Arial" w:hAnsi="Arial"/>
                <w:color w:val="1C1917"/>
                <w:sz w:val="16"/>
              </w:rPr>
              <w:t>若委外約 80~120 萬</w:t>
            </w:r>
          </w:p>
        </w:tc>
        <w:tc>
          <w:tcPr>
            <w:tcW w:type="dxa" w:w="2880"/>
            <w:shd w:fill="FFFFFF"/>
            <w:tcMar>
              <w:top w:w="60" w:type="dxa"/>
              <w:bottom w:w="60" w:type="dxa"/>
              <w:left w:w="100" w:type="dxa"/>
              <w:right w:w="100" w:type="dxa"/>
            </w:tcMar>
          </w:tcPr>
          <w:p>
            <w:r>
              <w:rPr>
                <w:rFonts w:ascii="Arial" w:hAnsi="Arial"/>
                <w:color w:val="1C1917"/>
                <w:sz w:val="16"/>
              </w:rPr>
              <w:t>★ 調整為 0 元 (內部團隊自行開發)</w:t>
            </w:r>
          </w:p>
        </w:tc>
        <w:tc>
          <w:tcPr>
            <w:tcW w:type="dxa" w:w="2304"/>
            <w:shd w:fill="FFFFFF"/>
            <w:tcMar>
              <w:top w:w="60" w:type="dxa"/>
              <w:bottom w:w="60" w:type="dxa"/>
              <w:left w:w="100" w:type="dxa"/>
              <w:right w:w="100" w:type="dxa"/>
            </w:tcMar>
          </w:tcPr>
          <w:p>
            <w:r>
              <w:rPr>
                <w:rFonts w:ascii="Arial" w:hAnsi="Arial"/>
                <w:color w:val="1C1917"/>
                <w:sz w:val="16"/>
              </w:rPr>
              <w:t>★ 充分發揮內部 C# .NET 戰力，省下整筆委外服務費！</w:t>
            </w:r>
          </w:p>
        </w:tc>
      </w:tr>
    </w:tbl>
    <w:p>
      <w:pPr>
        <w:spacing w:after="80"/>
      </w:pPr>
    </w:p>
    <w:p>
      <w:r>
        <w:br w:type="page"/>
      </w:r>
    </w:p>
    <w:p>
      <w:pPr>
        <w:spacing w:before="160" w:after="80"/>
      </w:pPr>
      <w:r>
        <w:rPr>
          <w:rFonts w:ascii="Arial" w:hAnsi="Arial"/>
          <w:b/>
          <w:color w:val="D97706"/>
          <w:sz w:val="22"/>
        </w:rPr>
        <w:t xml:space="preserve">【第八章：資本預算】 </w:t>
      </w:r>
      <w:r>
        <w:rPr>
          <w:rFonts w:ascii="Arial" w:hAnsi="Arial"/>
          <w:b/>
          <w:color w:val="A83212"/>
          <w:sz w:val="30"/>
        </w:rPr>
        <w:t>8.8 三年 TCO 總體持有成本走勢分析與折舊對比</w:t>
      </w:r>
    </w:p>
    <w:p>
      <w:pPr>
        <w:spacing w:before="0" w:after="200"/>
      </w:pPr>
      <w:r>
        <w:rPr>
          <w:rFonts w:ascii="Arial" w:hAnsi="Arial"/>
          <w:i/>
          <w:color w:val="78716C"/>
          <w:sz w:val="19"/>
        </w:rPr>
        <w:t>Three-Year TCO Trajectory · Depreciation Curve &amp; FinOps Payoff</w:t>
      </w:r>
    </w:p>
    <w:p>
      <w:pPr>
        <w:spacing w:before="0" w:after="120" w:line="276" w:lineRule="auto"/>
      </w:pPr>
      <w:r>
        <w:rPr>
          <w:rFonts w:ascii="Arial" w:hAnsi="Arial"/>
          <w:color w:val="1C1917"/>
          <w:sz w:val="19"/>
        </w:rPr>
        <w:t>以三年為期的總體擁有成本（Total Cost of Ownership, TCO）分析顯示，顧問建議之『分段採購 ＋ 內部自研』策略，為信源集團創造了極具說服力的現金流平滑曲線：</w:t>
      </w:r>
    </w:p>
    <w:p>
      <w:pPr>
        <w:pStyle w:val="ListBullet"/>
        <w:spacing w:before="0" w:after="60" w:line="269" w:lineRule="auto"/>
      </w:pPr>
      <w:r>
        <w:rPr>
          <w:rFonts w:ascii="Arial" w:hAnsi="Arial"/>
          <w:b/>
          <w:color w:val="1C1917"/>
          <w:sz w:val="18"/>
        </w:rPr>
        <w:t>1. 現金流平滑健康：</w:t>
      </w:r>
      <w:r>
        <w:rPr>
          <w:rFonts w:ascii="Arial" w:hAnsi="Arial"/>
          <w:color w:val="1C1917"/>
          <w:sz w:val="18"/>
        </w:rPr>
        <w:t>第一年（2027）支出集中於具備立即效益之基礎設施（85 萬網路升級 ＋ 數十萬邊緣主機 ＋ 數十萬雲端 OpEx），總現金流流出控制在 200 萬元以內，大幅降低董事會資金壓力。</w:t>
      </w:r>
    </w:p>
    <w:p>
      <w:pPr>
        <w:pStyle w:val="ListBullet"/>
        <w:spacing w:before="0" w:after="60" w:line="269" w:lineRule="auto"/>
      </w:pPr>
      <w:r>
        <w:rPr>
          <w:rFonts w:ascii="Arial" w:hAnsi="Arial"/>
          <w:b/>
          <w:color w:val="1C1917"/>
          <w:sz w:val="18"/>
        </w:rPr>
        <w:t>2. 首年節省逾 400 萬現金：</w:t>
      </w:r>
      <w:r>
        <w:rPr>
          <w:rFonts w:ascii="Arial" w:hAnsi="Arial"/>
          <w:color w:val="1C1917"/>
          <w:sz w:val="18"/>
        </w:rPr>
        <w:t>相較於傳統一次性砸入 535 萬硬體 ＋ 100 萬外部委外（首年支出高達 635 萬且承擔 150 萬高額折舊），優化方案在首年為集團省下超過 400 萬元的現金流壓力！</w:t>
      </w:r>
    </w:p>
    <w:p>
      <w:pPr>
        <w:pStyle w:val="ListBullet"/>
        <w:spacing w:before="0" w:after="60" w:line="269" w:lineRule="auto"/>
      </w:pPr>
      <w:r>
        <w:rPr>
          <w:rFonts w:ascii="Arial" w:hAnsi="Arial"/>
          <w:b/>
          <w:color w:val="1C1917"/>
          <w:sz w:val="18"/>
        </w:rPr>
        <w:t>3. 投資回報最大化：</w:t>
      </w:r>
      <w:r>
        <w:rPr>
          <w:rFonts w:ascii="Arial" w:hAnsi="Arial"/>
          <w:color w:val="1C1917"/>
          <w:sz w:val="18"/>
        </w:rPr>
        <w:t>當第二年與第三年業務全面成熟時，實體主機的運算效益將 100% 被海量生產資料餵飽，投資報酬率（ROI）達到最大化！</w:t>
      </w:r>
    </w:p>
    <w:p>
      <w:r>
        <w:br w:type="page"/>
      </w:r>
    </w:p>
    <w:p>
      <w:pPr>
        <w:spacing w:before="160" w:after="80"/>
      </w:pPr>
      <w:r>
        <w:rPr>
          <w:rFonts w:ascii="Arial" w:hAnsi="Arial"/>
          <w:b/>
          <w:color w:val="D97706"/>
          <w:sz w:val="22"/>
        </w:rPr>
        <w:t xml:space="preserve">【第九章：合規治理】 </w:t>
      </w:r>
      <w:r>
        <w:rPr>
          <w:rFonts w:ascii="Arial" w:hAnsi="Arial"/>
          <w:b/>
          <w:color w:val="A83212"/>
          <w:sz w:val="30"/>
        </w:rPr>
        <w:t>9.1 金管會生成式 AI 核心六大指引在跨國成衣製造的落地實踐</w:t>
      </w:r>
    </w:p>
    <w:p>
      <w:pPr>
        <w:spacing w:before="0" w:after="200"/>
      </w:pPr>
      <w:r>
        <w:rPr>
          <w:rFonts w:ascii="Arial" w:hAnsi="Arial"/>
          <w:i/>
          <w:color w:val="78716C"/>
          <w:sz w:val="19"/>
        </w:rPr>
        <w:t>FSC GenAI Core Principles · Operationalizing AI Governance in Manufacturing</w:t>
      </w:r>
    </w:p>
    <w:p>
      <w:pPr>
        <w:spacing w:before="0" w:after="120" w:line="276" w:lineRule="auto"/>
      </w:pPr>
      <w:r>
        <w:rPr>
          <w:rFonts w:ascii="Arial" w:hAnsi="Arial"/>
          <w:color w:val="1C1917"/>
          <w:sz w:val="19"/>
        </w:rPr>
        <w:t>參考 8436 大江生醫在資本市場建立之高規格合規標竿，信源全球正式引進中華民國金融監督管理委員會（金管會）發布之《金融機構使用生成式 AI 核心指引》，將六大核心原則全面映射至跨國成衣製造流程：</w:t>
      </w:r>
    </w:p>
    <w:tbl>
      <w:tblPr>
        <w:tblW w:type="auto" w:w="0"/>
        <w:jc w:val="center"/>
        <w:tblLook w:firstColumn="1" w:firstRow="1" w:lastColumn="0" w:lastRow="0" w:noHBand="0" w:noVBand="1" w:val="04A0"/>
      </w:tblPr>
      <w:tblGrid>
        <w:gridCol w:w="3216"/>
        <w:gridCol w:w="3216"/>
        <w:gridCol w:w="3216"/>
      </w:tblGrid>
      <w:tr>
        <w:tc>
          <w:tcPr>
            <w:tcW w:type="dxa" w:w="2880"/>
            <w:shd w:fill="F5EFEB"/>
            <w:tcMar>
              <w:top w:w="80" w:type="dxa"/>
              <w:bottom w:w="80" w:type="dxa"/>
              <w:left w:w="100" w:type="dxa"/>
              <w:right w:w="100" w:type="dxa"/>
            </w:tcMar>
          </w:tcPr>
          <w:p>
            <w:r>
              <w:rPr>
                <w:rFonts w:ascii="Arial" w:hAnsi="Arial"/>
                <w:b/>
                <w:color w:val="A83212"/>
                <w:sz w:val="17"/>
              </w:rPr>
              <w:t>金管會核心指引</w:t>
            </w:r>
          </w:p>
        </w:tc>
        <w:tc>
          <w:tcPr>
            <w:tcW w:type="dxa" w:w="4032"/>
            <w:shd w:fill="F5EFEB"/>
            <w:tcMar>
              <w:top w:w="80" w:type="dxa"/>
              <w:bottom w:w="80" w:type="dxa"/>
              <w:left w:w="100" w:type="dxa"/>
              <w:right w:w="100" w:type="dxa"/>
            </w:tcMar>
          </w:tcPr>
          <w:p>
            <w:r>
              <w:rPr>
                <w:rFonts w:ascii="Arial" w:hAnsi="Arial"/>
                <w:b/>
                <w:color w:val="A83212"/>
                <w:sz w:val="17"/>
              </w:rPr>
              <w:t>信源全球 (RSI) 之具體落地機制</w:t>
            </w:r>
          </w:p>
        </w:tc>
        <w:tc>
          <w:tcPr>
            <w:tcW w:type="dxa" w:w="3456"/>
            <w:shd w:fill="F5EFEB"/>
            <w:tcMar>
              <w:top w:w="80" w:type="dxa"/>
              <w:bottom w:w="80" w:type="dxa"/>
              <w:left w:w="100" w:type="dxa"/>
              <w:right w:w="100" w:type="dxa"/>
            </w:tcMar>
          </w:tcPr>
          <w:p>
            <w:r>
              <w:rPr>
                <w:rFonts w:ascii="Arial" w:hAnsi="Arial"/>
                <w:b/>
                <w:color w:val="A83212"/>
                <w:sz w:val="17"/>
              </w:rPr>
              <w:t>防範之實務營運與法規風險</w:t>
            </w:r>
          </w:p>
        </w:tc>
      </w:tr>
      <w:tr>
        <w:tc>
          <w:tcPr>
            <w:tcW w:type="dxa" w:w="2880"/>
            <w:shd w:fill="FFFFFF"/>
            <w:tcMar>
              <w:top w:w="60" w:type="dxa"/>
              <w:bottom w:w="60" w:type="dxa"/>
              <w:left w:w="100" w:type="dxa"/>
              <w:right w:w="100" w:type="dxa"/>
            </w:tcMar>
          </w:tcPr>
          <w:p>
            <w:r>
              <w:rPr>
                <w:rFonts w:ascii="Arial" w:hAnsi="Arial"/>
                <w:color w:val="1C1917"/>
                <w:sz w:val="16"/>
              </w:rPr>
              <w:t>原則一：建立治理與問責機制</w:t>
              <w:br/>
              <w:t>(Accountability)</w:t>
            </w:r>
          </w:p>
        </w:tc>
        <w:tc>
          <w:tcPr>
            <w:tcW w:type="dxa" w:w="4032"/>
            <w:shd w:fill="FFFFFF"/>
            <w:tcMar>
              <w:top w:w="60" w:type="dxa"/>
              <w:bottom w:w="60" w:type="dxa"/>
              <w:left w:w="100" w:type="dxa"/>
              <w:right w:w="100" w:type="dxa"/>
            </w:tcMar>
          </w:tcPr>
          <w:p>
            <w:r>
              <w:rPr>
                <w:rFonts w:ascii="Arial" w:hAnsi="Arial"/>
                <w:color w:val="1C1917"/>
                <w:sz w:val="16"/>
              </w:rPr>
              <w:t>成立跨部門『AI 治理與風險審查委員會』，由周副總親自主持；明定決策主體為企業本身，絕不將責任推託給演算法。</w:t>
            </w:r>
          </w:p>
        </w:tc>
        <w:tc>
          <w:tcPr>
            <w:tcW w:type="dxa" w:w="3456"/>
            <w:shd w:fill="FFFFFF"/>
            <w:tcMar>
              <w:top w:w="60" w:type="dxa"/>
              <w:bottom w:w="60" w:type="dxa"/>
              <w:left w:w="100" w:type="dxa"/>
              <w:right w:w="100" w:type="dxa"/>
            </w:tcMar>
          </w:tcPr>
          <w:p>
            <w:r>
              <w:rPr>
                <w:rFonts w:ascii="Arial" w:hAnsi="Arial"/>
                <w:color w:val="1C1917"/>
                <w:sz w:val="16"/>
              </w:rPr>
              <w:t>杜絕出事時『推給 AI 算錯』的互推責任現象。</w:t>
            </w:r>
          </w:p>
        </w:tc>
      </w:tr>
      <w:tr>
        <w:tc>
          <w:tcPr>
            <w:tcW w:type="dxa" w:w="2880"/>
            <w:shd w:fill="FAFAF9"/>
            <w:tcMar>
              <w:top w:w="60" w:type="dxa"/>
              <w:bottom w:w="60" w:type="dxa"/>
              <w:left w:w="100" w:type="dxa"/>
              <w:right w:w="100" w:type="dxa"/>
            </w:tcMar>
          </w:tcPr>
          <w:p>
            <w:r>
              <w:rPr>
                <w:rFonts w:ascii="Arial" w:hAnsi="Arial"/>
                <w:color w:val="1C1917"/>
                <w:sz w:val="16"/>
              </w:rPr>
              <w:t>原則二：個資與商業機密保護</w:t>
              <w:br/>
              <w:t>(Confidentiality)</w:t>
            </w:r>
          </w:p>
        </w:tc>
        <w:tc>
          <w:tcPr>
            <w:tcW w:type="dxa" w:w="4032"/>
            <w:shd w:fill="FAFAF9"/>
            <w:tcMar>
              <w:top w:w="60" w:type="dxa"/>
              <w:bottom w:w="60" w:type="dxa"/>
              <w:left w:w="100" w:type="dxa"/>
              <w:right w:w="100" w:type="dxa"/>
            </w:tcMar>
          </w:tcPr>
          <w:p>
            <w:r>
              <w:rPr>
                <w:rFonts w:ascii="Arial" w:hAnsi="Arial"/>
                <w:color w:val="1C1917"/>
                <w:sz w:val="16"/>
              </w:rPr>
              <w:t>客戶『訂單款式結構圖』上傳雲端前強制去識別化；大模型供應商簽署 Zero Data Retention (ZDR) 協定。</w:t>
            </w:r>
          </w:p>
        </w:tc>
        <w:tc>
          <w:tcPr>
            <w:tcW w:type="dxa" w:w="3456"/>
            <w:shd w:fill="FAFAF9"/>
            <w:tcMar>
              <w:top w:w="60" w:type="dxa"/>
              <w:bottom w:w="60" w:type="dxa"/>
              <w:left w:w="100" w:type="dxa"/>
              <w:right w:w="100" w:type="dxa"/>
            </w:tcMar>
          </w:tcPr>
          <w:p>
            <w:r>
              <w:rPr>
                <w:rFonts w:ascii="Arial" w:hAnsi="Arial"/>
                <w:color w:val="1C1917"/>
                <w:sz w:val="16"/>
              </w:rPr>
              <w:t>防止國際品牌客戶未公開款式版型外洩。</w:t>
            </w:r>
          </w:p>
        </w:tc>
      </w:tr>
      <w:tr>
        <w:tc>
          <w:tcPr>
            <w:tcW w:type="dxa" w:w="2880"/>
            <w:shd w:fill="FFFFFF"/>
            <w:tcMar>
              <w:top w:w="60" w:type="dxa"/>
              <w:bottom w:w="60" w:type="dxa"/>
              <w:left w:w="100" w:type="dxa"/>
              <w:right w:w="100" w:type="dxa"/>
            </w:tcMar>
          </w:tcPr>
          <w:p>
            <w:r>
              <w:rPr>
                <w:rFonts w:ascii="Arial" w:hAnsi="Arial"/>
                <w:color w:val="1C1917"/>
                <w:sz w:val="16"/>
              </w:rPr>
              <w:t>原則三：維護公平性與不歧視</w:t>
              <w:br/>
              <w:t>(Fairness)</w:t>
            </w:r>
          </w:p>
        </w:tc>
        <w:tc>
          <w:tcPr>
            <w:tcW w:type="dxa" w:w="4032"/>
            <w:shd w:fill="FFFFFF"/>
            <w:tcMar>
              <w:top w:w="60" w:type="dxa"/>
              <w:bottom w:w="60" w:type="dxa"/>
              <w:left w:w="100" w:type="dxa"/>
              <w:right w:w="100" w:type="dxa"/>
            </w:tcMar>
          </w:tcPr>
          <w:p>
            <w:r>
              <w:rPr>
                <w:rFonts w:ascii="Arial" w:hAnsi="Arial"/>
                <w:color w:val="1C1917"/>
                <w:sz w:val="16"/>
              </w:rPr>
              <w:t>車縫線平衡率與工序排程演算法公開透明，嚴禁特定班組或國籍勞工的系統性歧視。</w:t>
            </w:r>
          </w:p>
        </w:tc>
        <w:tc>
          <w:tcPr>
            <w:tcW w:type="dxa" w:w="3456"/>
            <w:shd w:fill="FFFFFF"/>
            <w:tcMar>
              <w:top w:w="60" w:type="dxa"/>
              <w:bottom w:w="60" w:type="dxa"/>
              <w:left w:w="100" w:type="dxa"/>
              <w:right w:w="100" w:type="dxa"/>
            </w:tcMar>
          </w:tcPr>
          <w:p>
            <w:r>
              <w:rPr>
                <w:rFonts w:ascii="Arial" w:hAnsi="Arial"/>
                <w:color w:val="1C1917"/>
                <w:sz w:val="16"/>
              </w:rPr>
              <w:t>防範跨國海外廠勞工人權與工資計算爭端。</w:t>
            </w:r>
          </w:p>
        </w:tc>
      </w:tr>
      <w:tr>
        <w:tc>
          <w:tcPr>
            <w:tcW w:type="dxa" w:w="2880"/>
            <w:shd w:fill="FAFAF9"/>
            <w:tcMar>
              <w:top w:w="60" w:type="dxa"/>
              <w:bottom w:w="60" w:type="dxa"/>
              <w:left w:w="100" w:type="dxa"/>
              <w:right w:w="100" w:type="dxa"/>
            </w:tcMar>
          </w:tcPr>
          <w:p>
            <w:r>
              <w:rPr>
                <w:rFonts w:ascii="Arial" w:hAnsi="Arial"/>
                <w:color w:val="1C1917"/>
                <w:sz w:val="16"/>
              </w:rPr>
              <w:t>原則四：演算法透明度與可解釋性</w:t>
              <w:br/>
              <w:t>(Explainability)</w:t>
            </w:r>
          </w:p>
        </w:tc>
        <w:tc>
          <w:tcPr>
            <w:tcW w:type="dxa" w:w="4032"/>
            <w:shd w:fill="FAFAF9"/>
            <w:tcMar>
              <w:top w:w="60" w:type="dxa"/>
              <w:bottom w:w="60" w:type="dxa"/>
              <w:left w:w="100" w:type="dxa"/>
              <w:right w:w="100" w:type="dxa"/>
            </w:tcMar>
          </w:tcPr>
          <w:p>
            <w:r>
              <w:rPr>
                <w:rFonts w:ascii="Arial" w:hAnsi="Arial"/>
                <w:color w:val="1C1917"/>
                <w:sz w:val="16"/>
              </w:rPr>
              <w:t>Tech Pack 翻譯與工藝提醒標註引用來源章節；以圖找圖標明向量相似度百分比。</w:t>
            </w:r>
          </w:p>
        </w:tc>
        <w:tc>
          <w:tcPr>
            <w:tcW w:type="dxa" w:w="3456"/>
            <w:shd w:fill="FAFAF9"/>
            <w:tcMar>
              <w:top w:w="60" w:type="dxa"/>
              <w:bottom w:w="60" w:type="dxa"/>
              <w:left w:w="100" w:type="dxa"/>
              <w:right w:w="100" w:type="dxa"/>
            </w:tcMar>
          </w:tcPr>
          <w:p>
            <w:r>
              <w:rPr>
                <w:rFonts w:ascii="Arial" w:hAnsi="Arial"/>
                <w:color w:val="1C1917"/>
                <w:sz w:val="16"/>
              </w:rPr>
              <w:t>消滅黑箱運算，賦予工程師與廠長覆核依據。</w:t>
            </w:r>
          </w:p>
        </w:tc>
      </w:tr>
      <w:tr>
        <w:tc>
          <w:tcPr>
            <w:tcW w:type="dxa" w:w="2880"/>
            <w:shd w:fill="FFFFFF"/>
            <w:tcMar>
              <w:top w:w="60" w:type="dxa"/>
              <w:bottom w:w="60" w:type="dxa"/>
              <w:left w:w="100" w:type="dxa"/>
              <w:right w:w="100" w:type="dxa"/>
            </w:tcMar>
          </w:tcPr>
          <w:p>
            <w:r>
              <w:rPr>
                <w:rFonts w:ascii="Arial" w:hAnsi="Arial"/>
                <w:color w:val="1C1917"/>
                <w:sz w:val="16"/>
              </w:rPr>
              <w:t>原則五：落實人機協同</w:t>
              <w:br/>
              <w:t>(Human-in-the-Loop)</w:t>
            </w:r>
          </w:p>
        </w:tc>
        <w:tc>
          <w:tcPr>
            <w:tcW w:type="dxa" w:w="4032"/>
            <w:shd w:fill="FFFFFF"/>
            <w:tcMar>
              <w:top w:w="60" w:type="dxa"/>
              <w:bottom w:w="60" w:type="dxa"/>
              <w:left w:w="100" w:type="dxa"/>
              <w:right w:w="100" w:type="dxa"/>
            </w:tcMar>
          </w:tcPr>
          <w:p>
            <w:r>
              <w:rPr>
                <w:rFonts w:ascii="Arial" w:hAnsi="Arial"/>
                <w:color w:val="1C1917"/>
                <w:sz w:val="16"/>
              </w:rPr>
              <w:t>AI 輔助運算，但 4-Gate 產前門禁放行、成衣報價與大貨開裁必須由主管雙簽確認！</w:t>
            </w:r>
          </w:p>
        </w:tc>
        <w:tc>
          <w:tcPr>
            <w:tcW w:type="dxa" w:w="3456"/>
            <w:shd w:fill="FFFFFF"/>
            <w:tcMar>
              <w:top w:w="60" w:type="dxa"/>
              <w:bottom w:w="60" w:type="dxa"/>
              <w:left w:w="100" w:type="dxa"/>
              <w:right w:w="100" w:type="dxa"/>
            </w:tcMar>
          </w:tcPr>
          <w:p>
            <w:r>
              <w:rPr>
                <w:rFonts w:ascii="Arial" w:hAnsi="Arial"/>
                <w:color w:val="1C1917"/>
                <w:sz w:val="16"/>
              </w:rPr>
              <w:t>★ 杜絕 AI 幻覺直接引發數百萬製造成本損失！</w:t>
            </w:r>
          </w:p>
        </w:tc>
      </w:tr>
      <w:tr>
        <w:tc>
          <w:tcPr>
            <w:tcW w:type="dxa" w:w="2880"/>
            <w:shd w:fill="FAFAF9"/>
            <w:tcMar>
              <w:top w:w="60" w:type="dxa"/>
              <w:bottom w:w="60" w:type="dxa"/>
              <w:left w:w="100" w:type="dxa"/>
              <w:right w:w="100" w:type="dxa"/>
            </w:tcMar>
          </w:tcPr>
          <w:p>
            <w:r>
              <w:rPr>
                <w:rFonts w:ascii="Arial" w:hAnsi="Arial"/>
                <w:color w:val="1C1917"/>
                <w:sz w:val="16"/>
              </w:rPr>
              <w:t>原則六：系統安全性與強韌度</w:t>
              <w:br/>
              <w:t>(Resilience)</w:t>
            </w:r>
          </w:p>
        </w:tc>
        <w:tc>
          <w:tcPr>
            <w:tcW w:type="dxa" w:w="4032"/>
            <w:shd w:fill="FAFAF9"/>
            <w:tcMar>
              <w:top w:w="60" w:type="dxa"/>
              <w:bottom w:w="60" w:type="dxa"/>
              <w:left w:w="100" w:type="dxa"/>
              <w:right w:w="100" w:type="dxa"/>
            </w:tcMar>
          </w:tcPr>
          <w:p>
            <w:r>
              <w:rPr>
                <w:rFonts w:ascii="Arial" w:hAnsi="Arial"/>
                <w:color w:val="1C1917"/>
                <w:sz w:val="16"/>
              </w:rPr>
              <w:t>部署 Prompt 雙向護欄 (Llama-Guard 3)；海外廠具備 48~72h 離線自律生產能力。</w:t>
            </w:r>
          </w:p>
        </w:tc>
        <w:tc>
          <w:tcPr>
            <w:tcW w:type="dxa" w:w="3456"/>
            <w:shd w:fill="FAFAF9"/>
            <w:tcMar>
              <w:top w:w="60" w:type="dxa"/>
              <w:bottom w:w="60" w:type="dxa"/>
              <w:left w:w="100" w:type="dxa"/>
              <w:right w:w="100" w:type="dxa"/>
            </w:tcMar>
          </w:tcPr>
          <w:p>
            <w:r>
              <w:rPr>
                <w:rFonts w:ascii="Arial" w:hAnsi="Arial"/>
                <w:color w:val="1C1917"/>
                <w:sz w:val="16"/>
              </w:rPr>
              <w:t>防禦 Prompt 注入攻擊，確保海纜斷網產線不停擺。</w:t>
            </w:r>
          </w:p>
        </w:tc>
      </w:tr>
    </w:tbl>
    <w:p>
      <w:pPr>
        <w:spacing w:after="80"/>
      </w:pPr>
    </w:p>
    <w:p>
      <w:r>
        <w:br w:type="page"/>
      </w:r>
    </w:p>
    <w:p>
      <w:pPr>
        <w:spacing w:before="160" w:after="80"/>
      </w:pPr>
      <w:r>
        <w:rPr>
          <w:rFonts w:ascii="Arial" w:hAnsi="Arial"/>
          <w:b/>
          <w:color w:val="D97706"/>
          <w:sz w:val="22"/>
        </w:rPr>
        <w:t xml:space="preserve">【第九章：合規治理】 </w:t>
      </w:r>
      <w:r>
        <w:rPr>
          <w:rFonts w:ascii="Arial" w:hAnsi="Arial"/>
          <w:b/>
          <w:color w:val="A83212"/>
          <w:sz w:val="30"/>
        </w:rPr>
        <w:t>9.2 國際品牌客戶（Nike / Lululemon）智財無菌室 (IP Clean Room) 隔離</w:t>
      </w:r>
    </w:p>
    <w:p>
      <w:pPr>
        <w:spacing w:before="0" w:after="200"/>
      </w:pPr>
      <w:r>
        <w:rPr>
          <w:rFonts w:ascii="Arial" w:hAnsi="Arial"/>
          <w:i/>
          <w:color w:val="78716C"/>
          <w:sz w:val="19"/>
        </w:rPr>
        <w:t>Brand IP Clean Room · Tenant Isolation &amp; CAD Asset Protection</w:t>
      </w:r>
    </w:p>
    <w:p>
      <w:pPr>
        <w:spacing w:before="0" w:after="120" w:line="276" w:lineRule="auto"/>
      </w:pPr>
      <w:r>
        <w:rPr>
          <w:rFonts w:ascii="Arial" w:hAnsi="Arial"/>
          <w:color w:val="1C1917"/>
          <w:sz w:val="19"/>
        </w:rPr>
        <w:t>成衣代工製造最嚴厲的法律紅線，是『絕對嚴禁讓 A 品牌客戶的版型或特殊做工，被 B 品牌客戶看到或用於其款式中』！若發生品牌版型互相污染，將引發跨國巨額侵權索賠與訂單直接抽單。</w:t>
      </w:r>
    </w:p>
    <w:p>
      <w:pPr>
        <w:spacing w:before="0" w:after="120" w:line="276" w:lineRule="auto"/>
      </w:pPr>
      <w:r>
        <w:rPr>
          <w:rFonts w:ascii="Arial" w:hAnsi="Arial"/>
          <w:color w:val="1C1917"/>
          <w:sz w:val="19"/>
        </w:rPr>
        <w:t>信源第一階段建立了軍規級的 **『品牌客戶智財無菌室 (IP Clean Room)』**：</w:t>
      </w:r>
    </w:p>
    <w:p>
      <w:pPr>
        <w:pStyle w:val="ListBullet"/>
        <w:spacing w:before="0" w:after="60" w:line="269" w:lineRule="auto"/>
      </w:pPr>
      <w:r>
        <w:rPr>
          <w:rFonts w:ascii="Arial" w:hAnsi="Arial"/>
          <w:b/>
          <w:color w:val="1C1917"/>
          <w:sz w:val="18"/>
        </w:rPr>
        <w:t>1. 實體租戶多維度隔離 (Tenant Restriction)：</w:t>
      </w:r>
      <w:r>
        <w:rPr>
          <w:rFonts w:ascii="Arial" w:hAnsi="Arial"/>
          <w:color w:val="1C1917"/>
          <w:sz w:val="18"/>
        </w:rPr>
        <w:t>在資料庫、向量庫與檔案儲存體全面實施基於屬性的存取控制（ABAC）。專屬 Nike 的專案團隊與系統權限，物理隔離無法存取 Lululemon 的版型資產，反之亦然。</w:t>
      </w:r>
    </w:p>
    <w:p>
      <w:pPr>
        <w:pStyle w:val="ListBullet"/>
        <w:spacing w:before="0" w:after="60" w:line="269" w:lineRule="auto"/>
      </w:pPr>
      <w:r>
        <w:rPr>
          <w:rFonts w:ascii="Arial" w:hAnsi="Arial"/>
          <w:b/>
          <w:color w:val="1C1917"/>
          <w:sz w:val="18"/>
        </w:rPr>
        <w:t>2. 動態身分盲水印防洩漏：</w:t>
      </w:r>
      <w:r>
        <w:rPr>
          <w:rFonts w:ascii="Arial" w:hAnsi="Arial"/>
          <w:color w:val="1C1917"/>
          <w:sz w:val="18"/>
        </w:rPr>
        <w:t>所有款式圖檔於內部檢視時，系統自動動態覆蓋帶有『檢視者工號 ＋ 登入時間戳』之不可篡改盲水印，防止手機拍照外流。</w:t>
      </w:r>
    </w:p>
    <w:p>
      <w:pPr>
        <w:pStyle w:val="ListBullet"/>
        <w:spacing w:before="0" w:after="60" w:line="269" w:lineRule="auto"/>
      </w:pPr>
      <w:r>
        <w:rPr>
          <w:rFonts w:ascii="Arial" w:hAnsi="Arial"/>
          <w:b/>
          <w:color w:val="1C1917"/>
          <w:sz w:val="18"/>
        </w:rPr>
        <w:t>3. 沙盒線上檢視禁下載：</w:t>
      </w:r>
      <w:r>
        <w:rPr>
          <w:rFonts w:ascii="Arial" w:hAnsi="Arial"/>
          <w:color w:val="1C1917"/>
          <w:sz w:val="18"/>
        </w:rPr>
        <w:t>外部打樣協力廠商或輔料供應商一律透過無客戶端沙盒（Clientless Portal）在線檢視，全站**禁止下載原始 CAD 版型圖檔**，杜絕檔案被複製轉發。</w:t>
      </w:r>
    </w:p>
    <w:p>
      <w:r>
        <w:br w:type="page"/>
      </w:r>
    </w:p>
    <w:p>
      <w:pPr>
        <w:spacing w:before="160" w:after="80"/>
      </w:pPr>
      <w:r>
        <w:rPr>
          <w:rFonts w:ascii="Arial" w:hAnsi="Arial"/>
          <w:b/>
          <w:color w:val="D97706"/>
          <w:sz w:val="22"/>
        </w:rPr>
        <w:t xml:space="preserve">【第九章：合規治理】 </w:t>
      </w:r>
      <w:r>
        <w:rPr>
          <w:rFonts w:ascii="Arial" w:hAnsi="Arial"/>
          <w:b/>
          <w:color w:val="A83212"/>
          <w:sz w:val="30"/>
        </w:rPr>
        <w:t>9.3 雲端 Zero Data Retention 協定與去識別化脫敏機制</w:t>
      </w:r>
    </w:p>
    <w:p>
      <w:pPr>
        <w:spacing w:before="0" w:after="200"/>
      </w:pPr>
      <w:r>
        <w:rPr>
          <w:rFonts w:ascii="Arial" w:hAnsi="Arial"/>
          <w:i/>
          <w:color w:val="78716C"/>
          <w:sz w:val="19"/>
        </w:rPr>
        <w:t>Zero Data Retention (ZDR) &amp; Automated De-identification Pipeline</w:t>
      </w:r>
    </w:p>
    <w:p>
      <w:pPr>
        <w:spacing w:before="0" w:after="120" w:line="276" w:lineRule="auto"/>
      </w:pPr>
      <w:r>
        <w:rPr>
          <w:rFonts w:ascii="Arial" w:hAnsi="Arial"/>
          <w:color w:val="1C1917"/>
          <w:sz w:val="19"/>
        </w:rPr>
        <w:t>在使用公有雲 AI 服務（如 AWS Bedrock 或 OpenAI API）時，企業最大的擔憂是『資料被大模型廠商拿去當作公共訓練語料，導致商業機密曝光』。</w:t>
      </w:r>
    </w:p>
    <w:p>
      <w:pPr>
        <w:spacing w:before="0" w:after="120" w:line="276" w:lineRule="auto"/>
      </w:pPr>
      <w:r>
        <w:rPr>
          <w:rFonts w:ascii="Arial" w:hAnsi="Arial"/>
          <w:color w:val="1C1917"/>
          <w:sz w:val="19"/>
        </w:rPr>
        <w:t>信源第一階段確立了雙重剛性保密圍欄：</w:t>
      </w:r>
    </w:p>
    <w:tbl>
      <w:tblPr>
        <w:tblW w:type="auto" w:w="0"/>
        <w:jc w:val="center"/>
        <w:tblLook w:firstColumn="1" w:firstRow="1" w:lastColumn="0" w:lastRow="0" w:noHBand="0" w:noVBand="1" w:val="04A0"/>
      </w:tblPr>
      <w:tblGrid>
        <w:gridCol w:w="3216"/>
        <w:gridCol w:w="3216"/>
        <w:gridCol w:w="3216"/>
      </w:tblGrid>
      <w:tr>
        <w:tc>
          <w:tcPr>
            <w:tcW w:type="dxa" w:w="2880"/>
            <w:shd w:fill="F5EFEB"/>
            <w:tcMar>
              <w:top w:w="80" w:type="dxa"/>
              <w:bottom w:w="80" w:type="dxa"/>
              <w:left w:w="100" w:type="dxa"/>
              <w:right w:w="100" w:type="dxa"/>
            </w:tcMar>
          </w:tcPr>
          <w:p>
            <w:r>
              <w:rPr>
                <w:rFonts w:ascii="Arial" w:hAnsi="Arial"/>
                <w:b/>
                <w:color w:val="A83212"/>
                <w:sz w:val="17"/>
              </w:rPr>
              <w:t>保密機制層級</w:t>
            </w:r>
          </w:p>
        </w:tc>
        <w:tc>
          <w:tcPr>
            <w:tcW w:type="dxa" w:w="3744"/>
            <w:shd w:fill="F5EFEB"/>
            <w:tcMar>
              <w:top w:w="80" w:type="dxa"/>
              <w:bottom w:w="80" w:type="dxa"/>
              <w:left w:w="100" w:type="dxa"/>
              <w:right w:w="100" w:type="dxa"/>
            </w:tcMar>
          </w:tcPr>
          <w:p>
            <w:r>
              <w:rPr>
                <w:rFonts w:ascii="Arial" w:hAnsi="Arial"/>
                <w:b/>
                <w:color w:val="A83212"/>
                <w:sz w:val="17"/>
              </w:rPr>
              <w:t>具體技術實現規格與合約承諾</w:t>
            </w:r>
          </w:p>
        </w:tc>
        <w:tc>
          <w:tcPr>
            <w:tcW w:type="dxa" w:w="3744"/>
            <w:shd w:fill="F5EFEB"/>
            <w:tcMar>
              <w:top w:w="80" w:type="dxa"/>
              <w:bottom w:w="80" w:type="dxa"/>
              <w:left w:w="100" w:type="dxa"/>
              <w:right w:w="100" w:type="dxa"/>
            </w:tcMar>
          </w:tcPr>
          <w:p>
            <w:r>
              <w:rPr>
                <w:rFonts w:ascii="Arial" w:hAnsi="Arial"/>
                <w:b/>
                <w:color w:val="A83212"/>
                <w:sz w:val="17"/>
              </w:rPr>
              <w:t>保護之商業機敏資訊</w:t>
            </w:r>
          </w:p>
        </w:tc>
      </w:tr>
      <w:tr>
        <w:tc>
          <w:tcPr>
            <w:tcW w:type="dxa" w:w="2880"/>
            <w:shd w:fill="FFFFFF"/>
            <w:tcMar>
              <w:top w:w="60" w:type="dxa"/>
              <w:bottom w:w="60" w:type="dxa"/>
              <w:left w:w="100" w:type="dxa"/>
              <w:right w:w="100" w:type="dxa"/>
            </w:tcMar>
          </w:tcPr>
          <w:p>
            <w:r>
              <w:rPr>
                <w:rFonts w:ascii="Arial" w:hAnsi="Arial"/>
                <w:color w:val="1C1917"/>
                <w:sz w:val="16"/>
              </w:rPr>
              <w:t>第一道防線：</w:t>
              <w:br/>
              <w:t>前端去識別化脫敏</w:t>
              <w:br/>
              <w:t>(De-identification)</w:t>
            </w:r>
          </w:p>
        </w:tc>
        <w:tc>
          <w:tcPr>
            <w:tcW w:type="dxa" w:w="3744"/>
            <w:shd w:fill="FFFFFF"/>
            <w:tcMar>
              <w:top w:w="60" w:type="dxa"/>
              <w:bottom w:w="60" w:type="dxa"/>
              <w:left w:w="100" w:type="dxa"/>
              <w:right w:w="100" w:type="dxa"/>
            </w:tcMar>
          </w:tcPr>
          <w:p>
            <w:r>
              <w:rPr>
                <w:rFonts w:ascii="Arial" w:hAnsi="Arial"/>
                <w:color w:val="1C1917"/>
                <w:sz w:val="16"/>
              </w:rPr>
              <w:t>款式圖檔與 Tech Pack 上傳雲端前，</w:t>
              <w:br/>
              <w:t>透過本地腳本自動去背、抹除品牌 Logo、</w:t>
              <w:br/>
              <w:t>款號、客戶名稱與工廠識別代碼。</w:t>
            </w:r>
          </w:p>
        </w:tc>
        <w:tc>
          <w:tcPr>
            <w:tcW w:type="dxa" w:w="3744"/>
            <w:shd w:fill="FFFFFF"/>
            <w:tcMar>
              <w:top w:w="60" w:type="dxa"/>
              <w:bottom w:w="60" w:type="dxa"/>
              <w:left w:w="100" w:type="dxa"/>
              <w:right w:w="100" w:type="dxa"/>
            </w:tcMar>
          </w:tcPr>
          <w:p>
            <w:r>
              <w:rPr>
                <w:rFonts w:ascii="Arial" w:hAnsi="Arial"/>
                <w:color w:val="1C1917"/>
                <w:sz w:val="16"/>
              </w:rPr>
              <w:t>雲端運算節點只會看到抽象的服裝線條結構向量，完全無從辨識屬於哪一家國際品牌！</w:t>
            </w:r>
          </w:p>
        </w:tc>
      </w:tr>
      <w:tr>
        <w:tc>
          <w:tcPr>
            <w:tcW w:type="dxa" w:w="2880"/>
            <w:shd w:fill="FAFAF9"/>
            <w:tcMar>
              <w:top w:w="60" w:type="dxa"/>
              <w:bottom w:w="60" w:type="dxa"/>
              <w:left w:w="100" w:type="dxa"/>
              <w:right w:w="100" w:type="dxa"/>
            </w:tcMar>
          </w:tcPr>
          <w:p>
            <w:r>
              <w:rPr>
                <w:rFonts w:ascii="Arial" w:hAnsi="Arial"/>
                <w:color w:val="1C1917"/>
                <w:sz w:val="16"/>
              </w:rPr>
              <w:t>第二道防線：</w:t>
              <w:br/>
              <w:t>商業雲端 ZDR 協定</w:t>
              <w:br/>
              <w:t>(Zero Data Retention)</w:t>
            </w:r>
          </w:p>
        </w:tc>
        <w:tc>
          <w:tcPr>
            <w:tcW w:type="dxa" w:w="3744"/>
            <w:shd w:fill="FAFAF9"/>
            <w:tcMar>
              <w:top w:w="60" w:type="dxa"/>
              <w:bottom w:w="60" w:type="dxa"/>
              <w:left w:w="100" w:type="dxa"/>
              <w:right w:w="100" w:type="dxa"/>
            </w:tcMar>
          </w:tcPr>
          <w:p>
            <w:r>
              <w:rPr>
                <w:rFonts w:ascii="Arial" w:hAnsi="Arial"/>
                <w:color w:val="1C1917"/>
                <w:sz w:val="16"/>
              </w:rPr>
              <w:t>與 AWS / 雲端供應商簽署正式企業級合約，</w:t>
              <w:br/>
              <w:t>開啟 API 之 Zero Data Retention 旗標，</w:t>
              <w:br/>
              <w:t>微軟/AWS 承諾不在其伺服器儲存任何輸入輸出。</w:t>
            </w:r>
          </w:p>
        </w:tc>
        <w:tc>
          <w:tcPr>
            <w:tcW w:type="dxa" w:w="3744"/>
            <w:shd w:fill="FAFAF9"/>
            <w:tcMar>
              <w:top w:w="60" w:type="dxa"/>
              <w:bottom w:w="60" w:type="dxa"/>
              <w:left w:w="100" w:type="dxa"/>
              <w:right w:w="100" w:type="dxa"/>
            </w:tcMar>
          </w:tcPr>
          <w:p>
            <w:r>
              <w:rPr>
                <w:rFonts w:ascii="Arial" w:hAnsi="Arial"/>
                <w:color w:val="1C1917"/>
                <w:sz w:val="16"/>
              </w:rPr>
              <w:t>模型供應商法律保證資料『用完即刻由記憶體抹除』，絕不用於任何公有大模型的重訓！</w:t>
            </w:r>
          </w:p>
        </w:tc>
      </w:tr>
    </w:tbl>
    <w:p>
      <w:pPr>
        <w:spacing w:after="80"/>
      </w:pPr>
    </w:p>
    <w:p>
      <w:r>
        <w:br w:type="page"/>
      </w:r>
    </w:p>
    <w:p>
      <w:pPr>
        <w:spacing w:before="160" w:after="80"/>
      </w:pPr>
      <w:r>
        <w:rPr>
          <w:rFonts w:ascii="Arial" w:hAnsi="Arial"/>
          <w:b/>
          <w:color w:val="D97706"/>
          <w:sz w:val="22"/>
        </w:rPr>
        <w:t xml:space="preserve">【第九章：合規治理】 </w:t>
      </w:r>
      <w:r>
        <w:rPr>
          <w:rFonts w:ascii="Arial" w:hAnsi="Arial"/>
          <w:b/>
          <w:color w:val="A83212"/>
          <w:sz w:val="30"/>
        </w:rPr>
        <w:t>9.4 人機協同 (Human-in-the-Loop) 4-Gate 雙簽防呆架構</w:t>
      </w:r>
    </w:p>
    <w:p>
      <w:pPr>
        <w:spacing w:before="0" w:after="200"/>
      </w:pPr>
      <w:r>
        <w:rPr>
          <w:rFonts w:ascii="Arial" w:hAnsi="Arial"/>
          <w:i/>
          <w:color w:val="78716C"/>
          <w:sz w:val="19"/>
        </w:rPr>
        <w:t>Human-in-the-Loop (HITL) · Rigorous Pre-Flight Approval Topology</w:t>
      </w:r>
    </w:p>
    <w:p>
      <w:pPr>
        <w:spacing w:before="0" w:after="120" w:line="276" w:lineRule="auto"/>
      </w:pPr>
      <w:r>
        <w:rPr>
          <w:rFonts w:ascii="Arial" w:hAnsi="Arial"/>
          <w:color w:val="1C1917"/>
          <w:sz w:val="19"/>
        </w:rPr>
        <w:t>信源全球堅決反對『讓 AI 完全自主下達生產指令』的盲目冒進作法。在跨國成衣製造中，AI 永遠定位為『最強大副駕駛（Copilot）』，最終的放行與簽核權力必須由具名人類專家牢牢掌控！</w:t>
      </w:r>
    </w:p>
    <w:p>
      <w:pPr>
        <w:pStyle w:val="ListBullet"/>
        <w:spacing w:before="0" w:after="60" w:line="269" w:lineRule="auto"/>
      </w:pPr>
      <w:r>
        <w:rPr>
          <w:rFonts w:ascii="Arial" w:hAnsi="Arial"/>
          <w:b/>
          <w:color w:val="1C1917"/>
          <w:sz w:val="18"/>
        </w:rPr>
        <w:t>1. AI 僅供建議、人類核准：</w:t>
      </w:r>
      <w:r>
        <w:rPr>
          <w:rFonts w:ascii="Arial" w:hAnsi="Arial"/>
          <w:color w:val="1C1917"/>
          <w:sz w:val="18"/>
        </w:rPr>
        <w:t>AI 負責比對歷史上萬張訂單，提供用料預測、款型相似度與排產建議，但**嚴禁 AI 自行發送物料採購單或直接開動裁床**。</w:t>
      </w:r>
    </w:p>
    <w:p>
      <w:pPr>
        <w:pStyle w:val="ListBullet"/>
        <w:spacing w:before="0" w:after="60" w:line="269" w:lineRule="auto"/>
      </w:pPr>
      <w:r>
        <w:rPr>
          <w:rFonts w:ascii="Arial" w:hAnsi="Arial"/>
          <w:b/>
          <w:color w:val="1C1917"/>
          <w:sz w:val="18"/>
        </w:rPr>
        <w:t>2. 實體多方具名會簽：</w:t>
      </w:r>
      <w:r>
        <w:rPr>
          <w:rFonts w:ascii="Arial" w:hAnsi="Arial"/>
          <w:color w:val="1C1917"/>
          <w:sz w:val="18"/>
        </w:rPr>
        <w:t>Ready-to-Sew 4-Gate 產前門禁的四道關卡，必須由裁剪課長、車縫課長、品管主管在工控介面上進行實體電子簽名，系統記錄工號與時間戳。</w:t>
      </w:r>
    </w:p>
    <w:p>
      <w:pPr>
        <w:pStyle w:val="ListBullet"/>
        <w:spacing w:before="0" w:after="60" w:line="269" w:lineRule="auto"/>
      </w:pPr>
      <w:r>
        <w:rPr>
          <w:rFonts w:ascii="Arial" w:hAnsi="Arial"/>
          <w:b/>
          <w:color w:val="1C1917"/>
          <w:sz w:val="18"/>
        </w:rPr>
        <w:t>3. 30 秒緊急手動降級：</w:t>
      </w:r>
      <w:r>
        <w:rPr>
          <w:rFonts w:ascii="Arial" w:hAnsi="Arial"/>
          <w:color w:val="1C1917"/>
          <w:sz w:val="18"/>
        </w:rPr>
        <w:t>當現場發生品質異常或突發停線時，現場主管具備『一鍵終止 AI 建議、切換為傳統人工手動流程』的 30 秒快速降級權力。</w:t>
      </w:r>
    </w:p>
    <w:tbl>
      <w:tblPr>
        <w:tblW w:type="auto" w:w="0"/>
        <w:jc w:val="center"/>
        <w:tblLook w:firstColumn="1" w:firstRow="1" w:lastColumn="0" w:lastRow="0" w:noHBand="0" w:noVBand="1" w:val="04A0"/>
      </w:tblPr>
      <w:tblGrid>
        <w:gridCol w:w="9648"/>
      </w:tblGrid>
      <w:tr>
        <w:tc>
          <w:tcPr>
            <w:tcW w:type="dxa" w:w="9792"/>
            <w:shd w:fill="F5EFEB"/>
            <w:tcMar>
              <w:top w:w="100" w:type="dxa"/>
              <w:bottom w:w="100" w:type="dxa"/>
              <w:left w:w="140" w:type="dxa"/>
              <w:right w:w="140" w:type="dxa"/>
            </w:tcMar>
          </w:tcPr>
          <w:p>
            <w:pPr>
              <w:spacing w:after="40"/>
            </w:pPr>
            <w:r>
              <w:rPr>
                <w:rFonts w:ascii="Arial" w:hAnsi="Arial"/>
                <w:b/>
                <w:color w:val="A83212"/>
                <w:sz w:val="19"/>
              </w:rPr>
              <w:t>【人機協同最高綱領】</w:t>
              <w:br/>
            </w:r>
            <w:r>
              <w:rPr>
                <w:rFonts w:ascii="Arial" w:hAnsi="Arial"/>
                <w:color w:val="1C1917"/>
                <w:sz w:val="18"/>
              </w:rPr>
              <w:t>『AI 可以產出與初審，合併與上線必須由具名人員核准並負責。』這是信源 2027 蜂巢計畫不容妥協的工程底線。</w:t>
            </w:r>
          </w:p>
        </w:tc>
      </w:tr>
    </w:tbl>
    <w:p>
      <w:pPr>
        <w:spacing w:after="80"/>
      </w:pPr>
    </w:p>
    <w:p>
      <w:r>
        <w:br w:type="page"/>
      </w:r>
    </w:p>
    <w:p>
      <w:pPr>
        <w:spacing w:before="160" w:after="80"/>
      </w:pPr>
      <w:r>
        <w:rPr>
          <w:rFonts w:ascii="Arial" w:hAnsi="Arial"/>
          <w:b/>
          <w:color w:val="D97706"/>
          <w:sz w:val="22"/>
        </w:rPr>
        <w:t xml:space="preserve">【第九章：合規治理】 </w:t>
      </w:r>
      <w:r>
        <w:rPr>
          <w:rFonts w:ascii="Arial" w:hAnsi="Arial"/>
          <w:b/>
          <w:color w:val="A83212"/>
          <w:sz w:val="30"/>
        </w:rPr>
        <w:t>9.5 公開發行公司內部控制準則第 9 條之 1 資通安全查核對照</w:t>
      </w:r>
    </w:p>
    <w:p>
      <w:pPr>
        <w:spacing w:before="0" w:after="200"/>
      </w:pPr>
      <w:r>
        <w:rPr>
          <w:rFonts w:ascii="Arial" w:hAnsi="Arial"/>
          <w:i/>
          <w:color w:val="78716C"/>
          <w:sz w:val="19"/>
        </w:rPr>
        <w:t>Internal Control Article 9-1 Compliance Checklist &amp; Audit Evidence</w:t>
      </w:r>
    </w:p>
    <w:p>
      <w:pPr>
        <w:spacing w:before="0" w:after="120" w:line="276" w:lineRule="auto"/>
      </w:pPr>
      <w:r>
        <w:rPr>
          <w:rFonts w:ascii="Arial" w:hAnsi="Arial"/>
          <w:color w:val="1C1917"/>
          <w:sz w:val="19"/>
        </w:rPr>
        <w:t>為符合公開發行公司《內部控制制度處理準則》第 9 條之 1 規定，第一階段顧問服務建立了標準查核對照清冊，作為內部稽核主管每季出具稽核報告之直接依據：</w:t>
      </w:r>
    </w:p>
    <w:tbl>
      <w:tblPr>
        <w:tblW w:type="auto" w:w="0"/>
        <w:jc w:val="center"/>
        <w:tblLook w:firstColumn="1" w:firstRow="1" w:lastColumn="0" w:lastRow="0" w:noHBand="0" w:noVBand="1" w:val="04A0"/>
      </w:tblPr>
      <w:tblGrid>
        <w:gridCol w:w="3216"/>
        <w:gridCol w:w="3216"/>
        <w:gridCol w:w="3216"/>
      </w:tblGrid>
      <w:tr>
        <w:tc>
          <w:tcPr>
            <w:tcW w:type="dxa" w:w="2880"/>
            <w:shd w:fill="F5EFEB"/>
            <w:tcMar>
              <w:top w:w="80" w:type="dxa"/>
              <w:bottom w:w="80" w:type="dxa"/>
              <w:left w:w="100" w:type="dxa"/>
              <w:right w:w="100" w:type="dxa"/>
            </w:tcMar>
          </w:tcPr>
          <w:p>
            <w:r>
              <w:rPr>
                <w:rFonts w:ascii="Arial" w:hAnsi="Arial"/>
                <w:b/>
                <w:color w:val="A83212"/>
                <w:sz w:val="17"/>
              </w:rPr>
              <w:t>內控第 9 條之 1 查核要點</w:t>
            </w:r>
          </w:p>
        </w:tc>
        <w:tc>
          <w:tcPr>
            <w:tcW w:type="dxa" w:w="4032"/>
            <w:shd w:fill="F5EFEB"/>
            <w:tcMar>
              <w:top w:w="80" w:type="dxa"/>
              <w:bottom w:w="80" w:type="dxa"/>
              <w:left w:w="100" w:type="dxa"/>
              <w:right w:w="100" w:type="dxa"/>
            </w:tcMar>
          </w:tcPr>
          <w:p>
            <w:r>
              <w:rPr>
                <w:rFonts w:ascii="Arial" w:hAnsi="Arial"/>
                <w:b/>
                <w:color w:val="A83212"/>
                <w:sz w:val="17"/>
              </w:rPr>
              <w:t>信源蜂巢計畫第一階段具體實踐與管制規範</w:t>
            </w:r>
          </w:p>
        </w:tc>
        <w:tc>
          <w:tcPr>
            <w:tcW w:type="dxa" w:w="3456"/>
            <w:shd w:fill="F5EFEB"/>
            <w:tcMar>
              <w:top w:w="80" w:type="dxa"/>
              <w:bottom w:w="80" w:type="dxa"/>
              <w:left w:w="100" w:type="dxa"/>
              <w:right w:w="100" w:type="dxa"/>
            </w:tcMar>
          </w:tcPr>
          <w:p>
            <w:r>
              <w:rPr>
                <w:rFonts w:ascii="Arial" w:hAnsi="Arial"/>
                <w:b/>
                <w:color w:val="A83212"/>
                <w:sz w:val="17"/>
              </w:rPr>
              <w:t>內部稽核抽查留存證據 (Audit Trail)</w:t>
            </w:r>
          </w:p>
        </w:tc>
      </w:tr>
      <w:tr>
        <w:tc>
          <w:tcPr>
            <w:tcW w:type="dxa" w:w="2880"/>
            <w:shd w:fill="FFFFFF"/>
            <w:tcMar>
              <w:top w:w="60" w:type="dxa"/>
              <w:bottom w:w="60" w:type="dxa"/>
              <w:left w:w="100" w:type="dxa"/>
              <w:right w:w="100" w:type="dxa"/>
            </w:tcMar>
          </w:tcPr>
          <w:p>
            <w:r>
              <w:rPr>
                <w:rFonts w:ascii="Arial" w:hAnsi="Arial"/>
                <w:color w:val="1C1917"/>
                <w:sz w:val="16"/>
              </w:rPr>
              <w:t>1. 資訊安全政策訂定與評估</w:t>
            </w:r>
          </w:p>
        </w:tc>
        <w:tc>
          <w:tcPr>
            <w:tcW w:type="dxa" w:w="4032"/>
            <w:shd w:fill="FFFFFF"/>
            <w:tcMar>
              <w:top w:w="60" w:type="dxa"/>
              <w:bottom w:w="60" w:type="dxa"/>
              <w:left w:w="100" w:type="dxa"/>
              <w:right w:w="100" w:type="dxa"/>
            </w:tcMar>
          </w:tcPr>
          <w:p>
            <w:r>
              <w:rPr>
                <w:rFonts w:ascii="Arial" w:hAnsi="Arial"/>
                <w:color w:val="1C1917"/>
                <w:sz w:val="16"/>
              </w:rPr>
              <w:t>頒布《蜂巢計畫 API 與資料安全標準規範書》與《AI-SDLC 治理手冊》。</w:t>
            </w:r>
          </w:p>
        </w:tc>
        <w:tc>
          <w:tcPr>
            <w:tcW w:type="dxa" w:w="3456"/>
            <w:shd w:fill="FFFFFF"/>
            <w:tcMar>
              <w:top w:w="60" w:type="dxa"/>
              <w:bottom w:w="60" w:type="dxa"/>
              <w:left w:w="100" w:type="dxa"/>
              <w:right w:w="100" w:type="dxa"/>
            </w:tcMar>
          </w:tcPr>
          <w:p>
            <w:r>
              <w:rPr>
                <w:rFonts w:ascii="Arial" w:hAnsi="Arial"/>
                <w:color w:val="1C1917"/>
                <w:sz w:val="16"/>
              </w:rPr>
              <w:t>周副總核定發布之正式制度手冊、經委會會議紀錄。</w:t>
            </w:r>
          </w:p>
        </w:tc>
      </w:tr>
      <w:tr>
        <w:tc>
          <w:tcPr>
            <w:tcW w:type="dxa" w:w="2880"/>
            <w:shd w:fill="FAFAF9"/>
            <w:tcMar>
              <w:top w:w="60" w:type="dxa"/>
              <w:bottom w:w="60" w:type="dxa"/>
              <w:left w:w="100" w:type="dxa"/>
              <w:right w:w="100" w:type="dxa"/>
            </w:tcMar>
          </w:tcPr>
          <w:p>
            <w:r>
              <w:rPr>
                <w:rFonts w:ascii="Arial" w:hAnsi="Arial"/>
                <w:color w:val="1C1917"/>
                <w:sz w:val="16"/>
              </w:rPr>
              <w:t>2. 資訊系統帳號權限管理</w:t>
            </w:r>
          </w:p>
        </w:tc>
        <w:tc>
          <w:tcPr>
            <w:tcW w:type="dxa" w:w="4032"/>
            <w:shd w:fill="FAFAF9"/>
            <w:tcMar>
              <w:top w:w="60" w:type="dxa"/>
              <w:bottom w:w="60" w:type="dxa"/>
              <w:left w:w="100" w:type="dxa"/>
              <w:right w:w="100" w:type="dxa"/>
            </w:tcMar>
          </w:tcPr>
          <w:p>
            <w:r>
              <w:rPr>
                <w:rFonts w:ascii="Arial" w:hAnsi="Arial"/>
                <w:color w:val="1C1917"/>
                <w:sz w:val="16"/>
              </w:rPr>
              <w:t>GitLab 與系統全面整合 AD 網域；每季定期清查特權管理員名冊。</w:t>
            </w:r>
          </w:p>
        </w:tc>
        <w:tc>
          <w:tcPr>
            <w:tcW w:type="dxa" w:w="3456"/>
            <w:shd w:fill="FAFAF9"/>
            <w:tcMar>
              <w:top w:w="60" w:type="dxa"/>
              <w:bottom w:w="60" w:type="dxa"/>
              <w:left w:w="100" w:type="dxa"/>
              <w:right w:w="100" w:type="dxa"/>
            </w:tcMar>
          </w:tcPr>
          <w:p>
            <w:r>
              <w:rPr>
                <w:rFonts w:ascii="Arial" w:hAnsi="Arial"/>
                <w:color w:val="1C1917"/>
                <w:sz w:val="16"/>
              </w:rPr>
              <w:t>季度帳號清理清冊、離職當日 18:00 停權自動通知單。</w:t>
            </w:r>
          </w:p>
        </w:tc>
      </w:tr>
      <w:tr>
        <w:tc>
          <w:tcPr>
            <w:tcW w:type="dxa" w:w="2880"/>
            <w:shd w:fill="FFFFFF"/>
            <w:tcMar>
              <w:top w:w="60" w:type="dxa"/>
              <w:bottom w:w="60" w:type="dxa"/>
              <w:left w:w="100" w:type="dxa"/>
              <w:right w:w="100" w:type="dxa"/>
            </w:tcMar>
          </w:tcPr>
          <w:p>
            <w:r>
              <w:rPr>
                <w:rFonts w:ascii="Arial" w:hAnsi="Arial"/>
                <w:color w:val="1C1917"/>
                <w:sz w:val="16"/>
              </w:rPr>
              <w:t>3. 核心系統變更管理 (RFC)</w:t>
            </w:r>
          </w:p>
        </w:tc>
        <w:tc>
          <w:tcPr>
            <w:tcW w:type="dxa" w:w="4032"/>
            <w:shd w:fill="FFFFFF"/>
            <w:tcMar>
              <w:top w:w="60" w:type="dxa"/>
              <w:bottom w:w="60" w:type="dxa"/>
              <w:left w:w="100" w:type="dxa"/>
              <w:right w:w="100" w:type="dxa"/>
            </w:tcMar>
          </w:tcPr>
          <w:p>
            <w:r>
              <w:rPr>
                <w:rFonts w:ascii="Arial" w:hAnsi="Arial"/>
                <w:color w:val="1C1917"/>
                <w:sz w:val="16"/>
              </w:rPr>
              <w:t>實施 GitLab Merge Request 具名審查門禁，嚴禁直接 push main 主幹。</w:t>
            </w:r>
          </w:p>
        </w:tc>
        <w:tc>
          <w:tcPr>
            <w:tcW w:type="dxa" w:w="3456"/>
            <w:shd w:fill="FFFFFF"/>
            <w:tcMar>
              <w:top w:w="60" w:type="dxa"/>
              <w:bottom w:w="60" w:type="dxa"/>
              <w:left w:w="100" w:type="dxa"/>
              <w:right w:w="100" w:type="dxa"/>
            </w:tcMar>
          </w:tcPr>
          <w:p>
            <w:r>
              <w:rPr>
                <w:rFonts w:ascii="Arial" w:hAnsi="Arial"/>
                <w:color w:val="1C1917"/>
                <w:sz w:val="16"/>
              </w:rPr>
              <w:t>GitLab MR 審批紀錄、Review Matrix 簽署日誌。</w:t>
            </w:r>
          </w:p>
        </w:tc>
      </w:tr>
      <w:tr>
        <w:tc>
          <w:tcPr>
            <w:tcW w:type="dxa" w:w="2880"/>
            <w:shd w:fill="FAFAF9"/>
            <w:tcMar>
              <w:top w:w="60" w:type="dxa"/>
              <w:bottom w:w="60" w:type="dxa"/>
              <w:left w:w="100" w:type="dxa"/>
              <w:right w:w="100" w:type="dxa"/>
            </w:tcMar>
          </w:tcPr>
          <w:p>
            <w:r>
              <w:rPr>
                <w:rFonts w:ascii="Arial" w:hAnsi="Arial"/>
                <w:color w:val="1C1917"/>
                <w:sz w:val="16"/>
              </w:rPr>
              <w:t>4. 核心系統備份與災難復原</w:t>
            </w:r>
          </w:p>
        </w:tc>
        <w:tc>
          <w:tcPr>
            <w:tcW w:type="dxa" w:w="4032"/>
            <w:shd w:fill="FAFAF9"/>
            <w:tcMar>
              <w:top w:w="60" w:type="dxa"/>
              <w:bottom w:w="60" w:type="dxa"/>
              <w:left w:w="100" w:type="dxa"/>
              <w:right w:w="100" w:type="dxa"/>
            </w:tcMar>
          </w:tcPr>
          <w:p>
            <w:r>
              <w:rPr>
                <w:rFonts w:ascii="Arial" w:hAnsi="Arial"/>
                <w:color w:val="1C1917"/>
                <w:sz w:val="16"/>
              </w:rPr>
              <w:t>每日深夜自動加密異地備份；海外廠具備 48~72h 離線自律生存能力。</w:t>
            </w:r>
          </w:p>
        </w:tc>
        <w:tc>
          <w:tcPr>
            <w:tcW w:type="dxa" w:w="3456"/>
            <w:shd w:fill="FAFAF9"/>
            <w:tcMar>
              <w:top w:w="60" w:type="dxa"/>
              <w:bottom w:w="60" w:type="dxa"/>
              <w:left w:w="100" w:type="dxa"/>
              <w:right w:w="100" w:type="dxa"/>
            </w:tcMar>
          </w:tcPr>
          <w:p>
            <w:r>
              <w:rPr>
                <w:rFonts w:ascii="Arial" w:hAnsi="Arial"/>
                <w:color w:val="1C1917"/>
                <w:sz w:val="16"/>
              </w:rPr>
              <w:t>每月備份還原測試報告、越南廠 72h 拔線實兵演習紀錄。</w:t>
            </w:r>
          </w:p>
        </w:tc>
      </w:tr>
      <w:tr>
        <w:tc>
          <w:tcPr>
            <w:tcW w:type="dxa" w:w="2880"/>
            <w:shd w:fill="FFFFFF"/>
            <w:tcMar>
              <w:top w:w="60" w:type="dxa"/>
              <w:bottom w:w="60" w:type="dxa"/>
              <w:left w:w="100" w:type="dxa"/>
              <w:right w:w="100" w:type="dxa"/>
            </w:tcMar>
          </w:tcPr>
          <w:p>
            <w:r>
              <w:rPr>
                <w:rFonts w:ascii="Arial" w:hAnsi="Arial"/>
                <w:color w:val="1C1917"/>
                <w:sz w:val="16"/>
              </w:rPr>
              <w:t>5. 新興 AI 技術風險管理</w:t>
            </w:r>
          </w:p>
        </w:tc>
        <w:tc>
          <w:tcPr>
            <w:tcW w:type="dxa" w:w="4032"/>
            <w:shd w:fill="FFFFFF"/>
            <w:tcMar>
              <w:top w:w="60" w:type="dxa"/>
              <w:bottom w:w="60" w:type="dxa"/>
              <w:left w:w="100" w:type="dxa"/>
              <w:right w:w="100" w:type="dxa"/>
            </w:tcMar>
          </w:tcPr>
          <w:p>
            <w:r>
              <w:rPr>
                <w:rFonts w:ascii="Arial" w:hAnsi="Arial"/>
                <w:color w:val="1C1917"/>
                <w:sz w:val="16"/>
              </w:rPr>
              <w:t>落實成衣款式圖去識別化、AWS ZDR 協定與人機協同 4-Gate 防呆。</w:t>
            </w:r>
          </w:p>
        </w:tc>
        <w:tc>
          <w:tcPr>
            <w:tcW w:type="dxa" w:w="3456"/>
            <w:shd w:fill="FFFFFF"/>
            <w:tcMar>
              <w:top w:w="60" w:type="dxa"/>
              <w:bottom w:w="60" w:type="dxa"/>
              <w:left w:w="100" w:type="dxa"/>
              <w:right w:w="100" w:type="dxa"/>
            </w:tcMar>
          </w:tcPr>
          <w:p>
            <w:r>
              <w:rPr>
                <w:rFonts w:ascii="Arial" w:hAnsi="Arial"/>
                <w:color w:val="1C1917"/>
                <w:sz w:val="16"/>
              </w:rPr>
              <w:t>雲端去識別化日誌、品牌無菌室租戶隔離設定組態。</w:t>
            </w:r>
          </w:p>
        </w:tc>
      </w:tr>
    </w:tbl>
    <w:p>
      <w:pPr>
        <w:spacing w:after="80"/>
      </w:pPr>
    </w:p>
    <w:p>
      <w:r>
        <w:br w:type="page"/>
      </w:r>
    </w:p>
    <w:p>
      <w:pPr>
        <w:spacing w:before="160" w:after="80"/>
      </w:pPr>
      <w:r>
        <w:rPr>
          <w:rFonts w:ascii="Arial" w:hAnsi="Arial"/>
          <w:b/>
          <w:color w:val="D97706"/>
          <w:sz w:val="22"/>
        </w:rPr>
        <w:t xml:space="preserve">【第九章：合規治理】 </w:t>
      </w:r>
      <w:r>
        <w:rPr>
          <w:rFonts w:ascii="Arial" w:hAnsi="Arial"/>
          <w:b/>
          <w:color w:val="A83212"/>
          <w:sz w:val="30"/>
        </w:rPr>
        <w:t>9.6 證券交易所上市上櫃資通安全管控指引對齊（特權與金鑰治理）</w:t>
      </w:r>
    </w:p>
    <w:p>
      <w:pPr>
        <w:spacing w:before="0" w:after="200"/>
      </w:pPr>
      <w:r>
        <w:rPr>
          <w:rFonts w:ascii="Arial" w:hAnsi="Arial"/>
          <w:i/>
          <w:color w:val="78716C"/>
          <w:sz w:val="19"/>
        </w:rPr>
        <w:t>TWSE Cybersecurity Guidelines · Privilege Access &amp; Key Rotation</w:t>
      </w:r>
    </w:p>
    <w:p>
      <w:pPr>
        <w:spacing w:before="0" w:after="120" w:line="276" w:lineRule="auto"/>
      </w:pPr>
      <w:r>
        <w:rPr>
          <w:rFonts w:ascii="Arial" w:hAnsi="Arial"/>
          <w:color w:val="1C1917"/>
          <w:sz w:val="19"/>
        </w:rPr>
        <w:t>第一階段顧問服務全面對齊臺灣證券交易所《上市上櫃公司資通安全管控指引》之高規格要求：</w:t>
      </w:r>
    </w:p>
    <w:p>
      <w:pPr>
        <w:pStyle w:val="ListBullet"/>
        <w:spacing w:before="0" w:after="60" w:line="269" w:lineRule="auto"/>
      </w:pPr>
      <w:r>
        <w:rPr>
          <w:rFonts w:ascii="Arial" w:hAnsi="Arial"/>
          <w:b/>
          <w:color w:val="1C1917"/>
          <w:sz w:val="18"/>
        </w:rPr>
        <w:t>1. 全面強制雙因子認證 (MFA)：</w:t>
      </w:r>
      <w:r>
        <w:rPr>
          <w:rFonts w:ascii="Arial" w:hAnsi="Arial"/>
          <w:color w:val="1C1917"/>
          <w:sz w:val="18"/>
        </w:rPr>
        <w:t>系統管理員、資料庫管理員（DBA）與 GitLab Owner 帳號全面啟用 Authenticator App 基於時間的動態密碼（TOTP MFA），遠端 VPN 撥接全面強制雙因子驗證，嚴禁僅靠靜態密碼登入。</w:t>
      </w:r>
    </w:p>
    <w:p>
      <w:pPr>
        <w:pStyle w:val="ListBullet"/>
        <w:spacing w:before="0" w:after="60" w:line="269" w:lineRule="auto"/>
      </w:pPr>
      <w:r>
        <w:rPr>
          <w:rFonts w:ascii="Arial" w:hAnsi="Arial"/>
          <w:b/>
          <w:color w:val="1C1917"/>
          <w:sz w:val="18"/>
        </w:rPr>
        <w:t>2. 動態金鑰輪替機制：</w:t>
      </w:r>
      <w:r>
        <w:rPr>
          <w:rFonts w:ascii="Arial" w:hAnsi="Arial"/>
          <w:color w:val="1C1917"/>
          <w:sz w:val="18"/>
        </w:rPr>
        <w:t>AWS API Key、D365 服務主體密鑰與 MS SQL 連線字串，全數封裝於安全金鑰庫，禁止以明文形式寫在程式碼中。每 90 天自動執行金鑰輪替（Key Rotation）。</w:t>
      </w:r>
    </w:p>
    <w:p>
      <w:pPr>
        <w:pStyle w:val="ListBullet"/>
        <w:spacing w:before="0" w:after="60" w:line="269" w:lineRule="auto"/>
      </w:pPr>
      <w:r>
        <w:rPr>
          <w:rFonts w:ascii="Arial" w:hAnsi="Arial"/>
          <w:b/>
          <w:color w:val="1C1917"/>
          <w:sz w:val="18"/>
        </w:rPr>
        <w:t>3. 特權操作全程錄影稽核：</w:t>
      </w:r>
      <w:r>
        <w:rPr>
          <w:rFonts w:ascii="Arial" w:hAnsi="Arial"/>
          <w:color w:val="1C1917"/>
          <w:sz w:val="18"/>
        </w:rPr>
        <w:t>針對伺服器遠端桌面（RDP）與 SSH 連線，實施堡壘機（Bastion Host）全程側錄，操作軌跡具備不可篡改性。</w:t>
      </w:r>
    </w:p>
    <w:p>
      <w:r>
        <w:br w:type="page"/>
      </w:r>
    </w:p>
    <w:p>
      <w:pPr>
        <w:spacing w:before="160" w:after="80"/>
      </w:pPr>
      <w:r>
        <w:rPr>
          <w:rFonts w:ascii="Arial" w:hAnsi="Arial"/>
          <w:b/>
          <w:color w:val="D97706"/>
          <w:sz w:val="22"/>
        </w:rPr>
        <w:t xml:space="preserve">【第九章：合規治理】 </w:t>
      </w:r>
      <w:r>
        <w:rPr>
          <w:rFonts w:ascii="Arial" w:hAnsi="Arial"/>
          <w:b/>
          <w:color w:val="A83212"/>
          <w:sz w:val="30"/>
        </w:rPr>
        <w:t>9.7 AI FinOps 成本治理：Token 配額管制作業程序</w:t>
      </w:r>
    </w:p>
    <w:p>
      <w:pPr>
        <w:spacing w:before="0" w:after="200"/>
      </w:pPr>
      <w:r>
        <w:rPr>
          <w:rFonts w:ascii="Arial" w:hAnsi="Arial"/>
          <w:i/>
          <w:color w:val="78716C"/>
          <w:sz w:val="19"/>
        </w:rPr>
        <w:t>AI FinOps Governance · Departmental Token Quotas &amp; Cost Guardrails</w:t>
      </w:r>
    </w:p>
    <w:p>
      <w:pPr>
        <w:spacing w:before="0" w:after="120" w:line="276" w:lineRule="auto"/>
      </w:pPr>
      <w:r>
        <w:rPr>
          <w:rFonts w:ascii="Arial" w:hAnsi="Arial"/>
          <w:color w:val="1C1917"/>
          <w:sz w:val="19"/>
        </w:rPr>
        <w:t>為防範未來各部門無節制調用雲端大模型 API 導致算力帳單爆衝，第一階段正式建立了集團 **AI FinOps 成本治理與 Token 配額管控程序**：</w:t>
      </w:r>
    </w:p>
    <w:tbl>
      <w:tblPr>
        <w:tblW w:type="auto" w:w="0"/>
        <w:jc w:val="center"/>
        <w:tblLook w:firstColumn="1" w:firstRow="1" w:lastColumn="0" w:lastRow="0" w:noHBand="0" w:noVBand="1" w:val="04A0"/>
      </w:tblPr>
      <w:tblGrid>
        <w:gridCol w:w="2412"/>
        <w:gridCol w:w="2412"/>
        <w:gridCol w:w="2412"/>
        <w:gridCol w:w="2412"/>
      </w:tblGrid>
      <w:tr>
        <w:tc>
          <w:tcPr>
            <w:tcW w:type="dxa" w:w="2880"/>
            <w:shd w:fill="F5EFEB"/>
            <w:tcMar>
              <w:top w:w="80" w:type="dxa"/>
              <w:bottom w:w="80" w:type="dxa"/>
              <w:left w:w="100" w:type="dxa"/>
              <w:right w:w="100" w:type="dxa"/>
            </w:tcMar>
          </w:tcPr>
          <w:p>
            <w:r>
              <w:rPr>
                <w:rFonts w:ascii="Arial" w:hAnsi="Arial"/>
                <w:b/>
                <w:color w:val="A83212"/>
                <w:sz w:val="17"/>
              </w:rPr>
              <w:t>內部部門與業務模組</w:t>
            </w:r>
          </w:p>
        </w:tc>
        <w:tc>
          <w:tcPr>
            <w:tcW w:type="dxa" w:w="2592"/>
            <w:shd w:fill="F5EFEB"/>
            <w:tcMar>
              <w:top w:w="80" w:type="dxa"/>
              <w:bottom w:w="80" w:type="dxa"/>
              <w:left w:w="100" w:type="dxa"/>
              <w:right w:w="100" w:type="dxa"/>
            </w:tcMar>
          </w:tcPr>
          <w:p>
            <w:r>
              <w:rPr>
                <w:rFonts w:ascii="Arial" w:hAnsi="Arial"/>
                <w:b/>
                <w:color w:val="A83212"/>
                <w:sz w:val="17"/>
              </w:rPr>
              <w:t>月度 Token 配額上限</w:t>
            </w:r>
          </w:p>
        </w:tc>
        <w:tc>
          <w:tcPr>
            <w:tcW w:type="dxa" w:w="2592"/>
            <w:shd w:fill="F5EFEB"/>
            <w:tcMar>
              <w:top w:w="80" w:type="dxa"/>
              <w:bottom w:w="80" w:type="dxa"/>
              <w:left w:w="100" w:type="dxa"/>
              <w:right w:w="100" w:type="dxa"/>
            </w:tcMar>
          </w:tcPr>
          <w:p>
            <w:r>
              <w:rPr>
                <w:rFonts w:ascii="Arial" w:hAnsi="Arial"/>
                <w:b/>
                <w:color w:val="A83212"/>
                <w:sz w:val="17"/>
              </w:rPr>
              <w:t>成本預警與熔斷閥值</w:t>
            </w:r>
          </w:p>
        </w:tc>
        <w:tc>
          <w:tcPr>
            <w:tcW w:type="dxa" w:w="2304"/>
            <w:shd w:fill="F5EFEB"/>
            <w:tcMar>
              <w:top w:w="80" w:type="dxa"/>
              <w:bottom w:w="80" w:type="dxa"/>
              <w:left w:w="100" w:type="dxa"/>
              <w:right w:w="100" w:type="dxa"/>
            </w:tcMar>
          </w:tcPr>
          <w:p>
            <w:r>
              <w:rPr>
                <w:rFonts w:ascii="Arial" w:hAnsi="Arial"/>
                <w:b/>
                <w:color w:val="A83212"/>
                <w:sz w:val="17"/>
              </w:rPr>
              <w:t>超額處置流程</w:t>
            </w:r>
          </w:p>
        </w:tc>
      </w:tr>
      <w:tr>
        <w:tc>
          <w:tcPr>
            <w:tcW w:type="dxa" w:w="2880"/>
            <w:shd w:fill="FFFFFF"/>
            <w:tcMar>
              <w:top w:w="60" w:type="dxa"/>
              <w:bottom w:w="60" w:type="dxa"/>
              <w:left w:w="100" w:type="dxa"/>
              <w:right w:w="100" w:type="dxa"/>
            </w:tcMar>
          </w:tcPr>
          <w:p>
            <w:r>
              <w:rPr>
                <w:rFonts w:ascii="Arial" w:hAnsi="Arial"/>
                <w:color w:val="1C1917"/>
                <w:sz w:val="16"/>
              </w:rPr>
              <w:t>技術部 Tech Pack 自動翻譯</w:t>
            </w:r>
          </w:p>
        </w:tc>
        <w:tc>
          <w:tcPr>
            <w:tcW w:type="dxa" w:w="2592"/>
            <w:shd w:fill="FFFFFF"/>
            <w:tcMar>
              <w:top w:w="60" w:type="dxa"/>
              <w:bottom w:w="60" w:type="dxa"/>
              <w:left w:w="100" w:type="dxa"/>
              <w:right w:w="100" w:type="dxa"/>
            </w:tcMar>
          </w:tcPr>
          <w:p>
            <w:r>
              <w:rPr>
                <w:rFonts w:ascii="Arial" w:hAnsi="Arial"/>
                <w:color w:val="1C1917"/>
                <w:sz w:val="16"/>
              </w:rPr>
              <w:t>1,500 萬 Tokens / 月</w:t>
              <w:br/>
              <w:t>(約 NT$ 4,500 / 月)</w:t>
            </w:r>
          </w:p>
        </w:tc>
        <w:tc>
          <w:tcPr>
            <w:tcW w:type="dxa" w:w="2592"/>
            <w:shd w:fill="FFFFFF"/>
            <w:tcMar>
              <w:top w:w="60" w:type="dxa"/>
              <w:bottom w:w="60" w:type="dxa"/>
              <w:left w:w="100" w:type="dxa"/>
              <w:right w:w="100" w:type="dxa"/>
            </w:tcMar>
          </w:tcPr>
          <w:p>
            <w:r>
              <w:rPr>
                <w:rFonts w:ascii="Arial" w:hAnsi="Arial"/>
                <w:color w:val="1C1917"/>
                <w:sz w:val="16"/>
              </w:rPr>
              <w:t>達 80% 發送黃色預警</w:t>
              <w:br/>
              <w:t>達 100% 暫停非緊急翻譯</w:t>
            </w:r>
          </w:p>
        </w:tc>
        <w:tc>
          <w:tcPr>
            <w:tcW w:type="dxa" w:w="2304"/>
            <w:shd w:fill="FFFFFF"/>
            <w:tcMar>
              <w:top w:w="60" w:type="dxa"/>
              <w:bottom w:w="60" w:type="dxa"/>
              <w:left w:w="100" w:type="dxa"/>
              <w:right w:w="100" w:type="dxa"/>
            </w:tcMar>
          </w:tcPr>
          <w:p>
            <w:r>
              <w:rPr>
                <w:rFonts w:ascii="Arial" w:hAnsi="Arial"/>
                <w:color w:val="1C1917"/>
                <w:sz w:val="16"/>
              </w:rPr>
              <w:t>由技術部主管填寫《算力追加申請單》，經 ITS 審核後解鎖額度。</w:t>
            </w:r>
          </w:p>
        </w:tc>
      </w:tr>
      <w:tr>
        <w:tc>
          <w:tcPr>
            <w:tcW w:type="dxa" w:w="2880"/>
            <w:shd w:fill="FAFAF9"/>
            <w:tcMar>
              <w:top w:w="60" w:type="dxa"/>
              <w:bottom w:w="60" w:type="dxa"/>
              <w:left w:w="100" w:type="dxa"/>
              <w:right w:w="100" w:type="dxa"/>
            </w:tcMar>
          </w:tcPr>
          <w:p>
            <w:r>
              <w:rPr>
                <w:rFonts w:ascii="Arial" w:hAnsi="Arial"/>
                <w:color w:val="1C1917"/>
                <w:sz w:val="16"/>
              </w:rPr>
              <w:t>業務部 訂單款式結構圖以圖找圖</w:t>
            </w:r>
          </w:p>
        </w:tc>
        <w:tc>
          <w:tcPr>
            <w:tcW w:type="dxa" w:w="2592"/>
            <w:shd w:fill="FAFAF9"/>
            <w:tcMar>
              <w:top w:w="60" w:type="dxa"/>
              <w:bottom w:w="60" w:type="dxa"/>
              <w:left w:w="100" w:type="dxa"/>
              <w:right w:w="100" w:type="dxa"/>
            </w:tcMar>
          </w:tcPr>
          <w:p>
            <w:r>
              <w:rPr>
                <w:rFonts w:ascii="Arial" w:hAnsi="Arial"/>
                <w:color w:val="1C1917"/>
                <w:sz w:val="16"/>
              </w:rPr>
              <w:t>2,000 萬 Tokens / 月</w:t>
              <w:br/>
              <w:t>(約 NT$ 6,000 / 月)</w:t>
            </w:r>
          </w:p>
        </w:tc>
        <w:tc>
          <w:tcPr>
            <w:tcW w:type="dxa" w:w="2592"/>
            <w:shd w:fill="FAFAF9"/>
            <w:tcMar>
              <w:top w:w="60" w:type="dxa"/>
              <w:bottom w:w="60" w:type="dxa"/>
              <w:left w:w="100" w:type="dxa"/>
              <w:right w:w="100" w:type="dxa"/>
            </w:tcMar>
          </w:tcPr>
          <w:p>
            <w:r>
              <w:rPr>
                <w:rFonts w:ascii="Arial" w:hAnsi="Arial"/>
                <w:color w:val="1C1917"/>
                <w:sz w:val="16"/>
              </w:rPr>
              <w:t>達 85% 提示優化 Prompt</w:t>
              <w:br/>
              <w:t>達 100% 熔斷阻斷批量查詢</w:t>
            </w:r>
          </w:p>
        </w:tc>
        <w:tc>
          <w:tcPr>
            <w:tcW w:type="dxa" w:w="2304"/>
            <w:shd w:fill="FAFAF9"/>
            <w:tcMar>
              <w:top w:w="60" w:type="dxa"/>
              <w:bottom w:w="60" w:type="dxa"/>
              <w:left w:w="100" w:type="dxa"/>
              <w:right w:w="100" w:type="dxa"/>
            </w:tcMar>
          </w:tcPr>
          <w:p>
            <w:r>
              <w:rPr>
                <w:rFonts w:ascii="Arial" w:hAnsi="Arial"/>
                <w:color w:val="1C1917"/>
                <w:sz w:val="16"/>
              </w:rPr>
              <w:t>業務總監簽核確認大貨報價急迫性後，由系統自動增撥額度。</w:t>
            </w:r>
          </w:p>
        </w:tc>
      </w:tr>
      <w:tr>
        <w:tc>
          <w:tcPr>
            <w:tcW w:type="dxa" w:w="2880"/>
            <w:shd w:fill="FFFFFF"/>
            <w:tcMar>
              <w:top w:w="60" w:type="dxa"/>
              <w:bottom w:w="60" w:type="dxa"/>
              <w:left w:w="100" w:type="dxa"/>
              <w:right w:w="100" w:type="dxa"/>
            </w:tcMar>
          </w:tcPr>
          <w:p>
            <w:r>
              <w:rPr>
                <w:rFonts w:ascii="Arial" w:hAnsi="Arial"/>
                <w:color w:val="1C1917"/>
                <w:sz w:val="16"/>
              </w:rPr>
              <w:t>工廠車間 生管 AI Agent 排產</w:t>
            </w:r>
          </w:p>
        </w:tc>
        <w:tc>
          <w:tcPr>
            <w:tcW w:type="dxa" w:w="2592"/>
            <w:shd w:fill="FFFFFF"/>
            <w:tcMar>
              <w:top w:w="60" w:type="dxa"/>
              <w:bottom w:w="60" w:type="dxa"/>
              <w:left w:w="100" w:type="dxa"/>
              <w:right w:w="100" w:type="dxa"/>
            </w:tcMar>
          </w:tcPr>
          <w:p>
            <w:r>
              <w:rPr>
                <w:rFonts w:ascii="Arial" w:hAnsi="Arial"/>
                <w:color w:val="1C1917"/>
                <w:sz w:val="16"/>
              </w:rPr>
              <w:t>1,000 萬 Tokens / 月</w:t>
              <w:br/>
              <w:t>(約 NT$ 3,000 / 月)</w:t>
            </w:r>
          </w:p>
        </w:tc>
        <w:tc>
          <w:tcPr>
            <w:tcW w:type="dxa" w:w="2592"/>
            <w:shd w:fill="FFFFFF"/>
            <w:tcMar>
              <w:top w:w="60" w:type="dxa"/>
              <w:bottom w:w="60" w:type="dxa"/>
              <w:left w:w="100" w:type="dxa"/>
              <w:right w:w="100" w:type="dxa"/>
            </w:tcMar>
          </w:tcPr>
          <w:p>
            <w:r>
              <w:rPr>
                <w:rFonts w:ascii="Arial" w:hAnsi="Arial"/>
                <w:color w:val="1C1917"/>
                <w:sz w:val="16"/>
              </w:rPr>
              <w:t>達 80% 提示改用本地快取</w:t>
              <w:br/>
              <w:t>達 100% 強制降級為本地規則</w:t>
            </w:r>
          </w:p>
        </w:tc>
        <w:tc>
          <w:tcPr>
            <w:tcW w:type="dxa" w:w="2304"/>
            <w:shd w:fill="FFFFFF"/>
            <w:tcMar>
              <w:top w:w="60" w:type="dxa"/>
              <w:bottom w:w="60" w:type="dxa"/>
              <w:left w:w="100" w:type="dxa"/>
              <w:right w:w="100" w:type="dxa"/>
            </w:tcMar>
          </w:tcPr>
          <w:p>
            <w:r>
              <w:rPr>
                <w:rFonts w:ascii="Arial" w:hAnsi="Arial"/>
                <w:color w:val="1C1917"/>
                <w:sz w:val="16"/>
              </w:rPr>
              <w:t>生管主管檢討是否有異常重複查詢，確保算力精準花在刀口上。</w:t>
            </w:r>
          </w:p>
        </w:tc>
      </w:tr>
    </w:tbl>
    <w:p>
      <w:pPr>
        <w:spacing w:after="80"/>
      </w:pPr>
    </w:p>
    <w:p>
      <w:r>
        <w:br w:type="page"/>
      </w:r>
    </w:p>
    <w:p>
      <w:pPr>
        <w:spacing w:before="160" w:after="80"/>
      </w:pPr>
      <w:r>
        <w:rPr>
          <w:rFonts w:ascii="Arial" w:hAnsi="Arial"/>
          <w:b/>
          <w:color w:val="D97706"/>
          <w:sz w:val="22"/>
        </w:rPr>
        <w:t xml:space="preserve">【第九章：合規治理】 </w:t>
      </w:r>
      <w:r>
        <w:rPr>
          <w:rFonts w:ascii="Arial" w:hAnsi="Arial"/>
          <w:b/>
          <w:color w:val="A83212"/>
          <w:sz w:val="30"/>
        </w:rPr>
        <w:t>9.8 全生命週期決策審計追蹤日誌（Audit Trail）3 年留存標準</w:t>
      </w:r>
    </w:p>
    <w:p>
      <w:pPr>
        <w:spacing w:before="0" w:after="200"/>
      </w:pPr>
      <w:r>
        <w:rPr>
          <w:rFonts w:ascii="Arial" w:hAnsi="Arial"/>
          <w:i/>
          <w:color w:val="78716C"/>
          <w:sz w:val="19"/>
        </w:rPr>
        <w:t>Full Lifecycle Audit Trail · 3-Year Immutable Retention Standard</w:t>
      </w:r>
    </w:p>
    <w:p>
      <w:pPr>
        <w:spacing w:before="0" w:after="120" w:line="276" w:lineRule="auto"/>
      </w:pPr>
      <w:r>
        <w:rPr>
          <w:rFonts w:ascii="Arial" w:hAnsi="Arial"/>
          <w:color w:val="1C1917"/>
          <w:sz w:val="19"/>
        </w:rPr>
        <w:t>依據國際審計合規與董事會內控要求，信源全球建立的全生命週期決策審計日誌（Audit Trail），規範必須符合 **WORM（Write Once, Read Many）不可篡改與 3 年留存標準**：</w:t>
      </w:r>
    </w:p>
    <w:p>
      <w:pPr>
        <w:pStyle w:val="ListBullet"/>
        <w:spacing w:before="0" w:after="60" w:line="269" w:lineRule="auto"/>
      </w:pPr>
      <w:r>
        <w:rPr>
          <w:rFonts w:ascii="Arial" w:hAnsi="Arial"/>
          <w:b/>
          <w:color w:val="1C1917"/>
          <w:sz w:val="18"/>
        </w:rPr>
        <w:t>1. 決策六要素完整捕捉：</w:t>
      </w:r>
      <w:r>
        <w:rPr>
          <w:rFonts w:ascii="Arial" w:hAnsi="Arial"/>
          <w:color w:val="1C1917"/>
          <w:sz w:val="18"/>
        </w:rPr>
        <w:t>每次 AI 模型調用，系統強制自動截錄六大要素：調用時間戳（UTC）、操作人員工號、客戶與工單代碼、原始 Prompt（經脫敏）、模型版本代碼、以及模型回傳之 Confidence Score 置信度數值。</w:t>
      </w:r>
    </w:p>
    <w:p>
      <w:pPr>
        <w:pStyle w:val="ListBullet"/>
        <w:spacing w:before="0" w:after="60" w:line="269" w:lineRule="auto"/>
      </w:pPr>
      <w:r>
        <w:rPr>
          <w:rFonts w:ascii="Arial" w:hAnsi="Arial"/>
          <w:b/>
          <w:color w:val="1C1917"/>
          <w:sz w:val="18"/>
        </w:rPr>
        <w:t>2. 雲端不可篡改封存：</w:t>
      </w:r>
      <w:r>
        <w:rPr>
          <w:rFonts w:ascii="Arial" w:hAnsi="Arial"/>
          <w:color w:val="1C1917"/>
          <w:sz w:val="18"/>
        </w:rPr>
        <w:t>日誌檔案寫入獨立的 Azure 審計儲存體（Storage Vault），開啟 Legal Hold 法律保留鎖，即使系統最高權限管理員亦無法手動修改或刪除。</w:t>
      </w:r>
    </w:p>
    <w:p>
      <w:pPr>
        <w:pStyle w:val="ListBullet"/>
        <w:spacing w:before="0" w:after="60" w:line="269" w:lineRule="auto"/>
      </w:pPr>
      <w:r>
        <w:rPr>
          <w:rFonts w:ascii="Arial" w:hAnsi="Arial"/>
          <w:b/>
          <w:color w:val="1C1917"/>
          <w:sz w:val="18"/>
        </w:rPr>
        <w:t>3. 爭議快速定分止爭：</w:t>
      </w:r>
      <w:r>
        <w:rPr>
          <w:rFonts w:ascii="Arial" w:hAnsi="Arial"/>
          <w:color w:val="1C1917"/>
          <w:sz w:val="18"/>
        </w:rPr>
        <w:t>當遭遇國際品牌客戶客訴或品質爭議時，可憑訂單號一秒調出歷史產前所有 AI 翻譯、款式比對與主管簽核全鏈路軌跡，以具備法律效力的實證守護集團商譽！</w:t>
      </w: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10.1 Week 01 服務日實施紀錄：專案啟動、組織職能盤點與願景對齊</w:t>
      </w:r>
    </w:p>
    <w:p>
      <w:pPr>
        <w:spacing w:before="0" w:after="200"/>
      </w:pPr>
      <w:r>
        <w:rPr>
          <w:rFonts w:ascii="Arial" w:hAnsi="Arial"/>
          <w:i/>
          <w:color w:val="78716C"/>
          <w:sz w:val="19"/>
        </w:rPr>
        <w:t>Week 01 Delivery · Kick-off, Competency Audit &amp; 55/25/20 Alignment</w:t>
      </w:r>
    </w:p>
    <w:p>
      <w:pPr>
        <w:spacing w:before="0" w:after="120" w:line="276" w:lineRule="auto"/>
      </w:pPr>
      <w:r>
        <w:rPr>
          <w:rFonts w:ascii="Arial" w:hAnsi="Arial"/>
          <w:color w:val="1C1917"/>
          <w:sz w:val="19"/>
        </w:rPr>
        <w:t>【實施日期】：2026 年 11 月 02 日 (週一全日) ｜ 【參與人員】：周文津副總、Howard Liao Ph.D.、ITS 處長與技術主管</w:t>
      </w:r>
    </w:p>
    <w:p>
      <w:pPr>
        <w:spacing w:before="0" w:after="120" w:line="276" w:lineRule="auto"/>
      </w:pPr>
      <w:r>
        <w:rPr>
          <w:rFonts w:ascii="Arial" w:hAnsi="Arial"/>
          <w:color w:val="1C1917"/>
          <w:sz w:val="19"/>
        </w:rPr>
        <w:t>【當週重大進展與破冰突破】：正式召開蜂巢計畫（Project Hive）第一階段啟動大會。全體對齊 2027 年 IT 資本預算依 Gartner 55/25/20 模型配置之戰略共識。完成內部 16 位工程師團隊組織現況盤點，發現 Notion 隊（6人）與 Wrike 隊（10人）工具分裂盲點，拍板展開收斂。</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專案章程與 WBS 甘特圖基準</w:t>
            </w:r>
          </w:p>
        </w:tc>
        <w:tc>
          <w:tcPr>
            <w:tcW w:type="dxa" w:w="5184"/>
            <w:shd w:fill="FFFFFF"/>
            <w:tcMar>
              <w:top w:w="60" w:type="dxa"/>
              <w:bottom w:w="60" w:type="dxa"/>
              <w:left w:w="100" w:type="dxa"/>
              <w:right w:w="100" w:type="dxa"/>
            </w:tcMar>
          </w:tcPr>
          <w:p>
            <w:r>
              <w:rPr>
                <w:rFonts w:ascii="Arial" w:hAnsi="Arial"/>
                <w:color w:val="1C1917"/>
                <w:sz w:val="16"/>
              </w:rPr>
              <w:t>確立 12 週排程、決策閘門與 17 個顧問服務日基準。</w:t>
            </w:r>
          </w:p>
        </w:tc>
        <w:tc>
          <w:tcPr>
            <w:tcW w:type="dxa" w:w="1728"/>
            <w:shd w:fill="FFFFFF"/>
            <w:tcMar>
              <w:top w:w="60" w:type="dxa"/>
              <w:bottom w:w="60" w:type="dxa"/>
              <w:left w:w="100" w:type="dxa"/>
              <w:right w:w="100" w:type="dxa"/>
            </w:tcMar>
          </w:tcPr>
          <w:p>
            <w:r>
              <w:rPr>
                <w:rFonts w:ascii="Arial" w:hAnsi="Arial"/>
                <w:color w:val="1C1917"/>
                <w:sz w:val="16"/>
              </w:rPr>
              <w:t>★ 周副總簽批</w:t>
            </w:r>
          </w:p>
        </w:tc>
      </w:tr>
      <w:tr>
        <w:tc>
          <w:tcPr>
            <w:tcW w:type="dxa" w:w="3456"/>
            <w:shd w:fill="FAFAF9"/>
            <w:tcMar>
              <w:top w:w="60" w:type="dxa"/>
              <w:bottom w:w="60" w:type="dxa"/>
              <w:left w:w="100" w:type="dxa"/>
              <w:right w:w="100" w:type="dxa"/>
            </w:tcMar>
          </w:tcPr>
          <w:p>
            <w:r>
              <w:rPr>
                <w:rFonts w:ascii="Arial" w:hAnsi="Arial"/>
                <w:color w:val="1C1917"/>
                <w:sz w:val="16"/>
              </w:rPr>
              <w:t>2. 16 位工程師組織職能檢核表</w:t>
            </w:r>
          </w:p>
        </w:tc>
        <w:tc>
          <w:tcPr>
            <w:tcW w:type="dxa" w:w="5184"/>
            <w:shd w:fill="FAFAF9"/>
            <w:tcMar>
              <w:top w:w="60" w:type="dxa"/>
              <w:bottom w:w="60" w:type="dxa"/>
              <w:left w:w="100" w:type="dxa"/>
              <w:right w:w="100" w:type="dxa"/>
            </w:tcMar>
          </w:tcPr>
          <w:p>
            <w:r>
              <w:rPr>
                <w:rFonts w:ascii="Arial" w:hAnsi="Arial"/>
                <w:color w:val="1C1917"/>
                <w:sz w:val="16"/>
              </w:rPr>
              <w:t>發布 8 大領域 45 項技術能力指標問卷，完成初次摸底。</w:t>
            </w:r>
          </w:p>
        </w:tc>
        <w:tc>
          <w:tcPr>
            <w:tcW w:type="dxa" w:w="1728"/>
            <w:shd w:fill="FAFAF9"/>
            <w:tcMar>
              <w:top w:w="60" w:type="dxa"/>
              <w:bottom w:w="60" w:type="dxa"/>
              <w:left w:w="100" w:type="dxa"/>
              <w:right w:w="100" w:type="dxa"/>
            </w:tcMar>
          </w:tcPr>
          <w:p>
            <w:r>
              <w:rPr>
                <w:rFonts w:ascii="Arial" w:hAnsi="Arial"/>
                <w:color w:val="1C1917"/>
                <w:sz w:val="16"/>
              </w:rPr>
              <w:t>ITS 主管核定</w:t>
            </w:r>
          </w:p>
        </w:tc>
      </w:tr>
      <w:tr>
        <w:tc>
          <w:tcPr>
            <w:tcW w:type="dxa" w:w="3456"/>
            <w:shd w:fill="FFFFFF"/>
            <w:tcMar>
              <w:top w:w="60" w:type="dxa"/>
              <w:bottom w:w="60" w:type="dxa"/>
              <w:left w:w="100" w:type="dxa"/>
              <w:right w:w="100" w:type="dxa"/>
            </w:tcMar>
          </w:tcPr>
          <w:p>
            <w:r>
              <w:rPr>
                <w:rFonts w:ascii="Arial" w:hAnsi="Arial"/>
                <w:color w:val="1C1917"/>
                <w:sz w:val="16"/>
              </w:rPr>
              <w:t>3. 2027 資本配置模型白皮書</w:t>
            </w:r>
          </w:p>
        </w:tc>
        <w:tc>
          <w:tcPr>
            <w:tcW w:type="dxa" w:w="5184"/>
            <w:shd w:fill="FFFFFF"/>
            <w:tcMar>
              <w:top w:w="60" w:type="dxa"/>
              <w:bottom w:w="60" w:type="dxa"/>
              <w:left w:w="100" w:type="dxa"/>
              <w:right w:w="100" w:type="dxa"/>
            </w:tcMar>
          </w:tcPr>
          <w:p>
            <w:r>
              <w:rPr>
                <w:rFonts w:ascii="Arial" w:hAnsi="Arial"/>
                <w:color w:val="1C1917"/>
                <w:sz w:val="16"/>
              </w:rPr>
              <w:t>定義 55% Run, 25% Grow, 20% Transform 配置原則與 ROI 引擎。</w:t>
            </w:r>
          </w:p>
        </w:tc>
        <w:tc>
          <w:tcPr>
            <w:tcW w:type="dxa" w:w="1728"/>
            <w:shd w:fill="FFFFFF"/>
            <w:tcMar>
              <w:top w:w="60" w:type="dxa"/>
              <w:bottom w:w="60" w:type="dxa"/>
              <w:left w:w="100" w:type="dxa"/>
              <w:right w:w="100" w:type="dxa"/>
            </w:tcMar>
          </w:tcPr>
          <w:p>
            <w:r>
              <w:rPr>
                <w:rFonts w:ascii="Arial" w:hAnsi="Arial"/>
                <w:color w:val="1C1917"/>
                <w:sz w:val="16"/>
              </w:rPr>
              <w:t>專案組存檔</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10.2 Week 02 服務日實施紀錄：5 大核心系統代碼走查與技術債體檢</w:t>
      </w:r>
    </w:p>
    <w:p>
      <w:pPr>
        <w:spacing w:before="0" w:after="200"/>
      </w:pPr>
      <w:r>
        <w:rPr>
          <w:rFonts w:ascii="Arial" w:hAnsi="Arial"/>
          <w:i/>
          <w:color w:val="78716C"/>
          <w:sz w:val="19"/>
        </w:rPr>
        <w:t>Week 02 Delivery · 5-Core System Architecture Audit &amp; Technical Debt Matrix</w:t>
      </w:r>
    </w:p>
    <w:p>
      <w:pPr>
        <w:spacing w:before="0" w:after="120" w:line="276" w:lineRule="auto"/>
      </w:pPr>
      <w:r>
        <w:rPr>
          <w:rFonts w:ascii="Arial" w:hAnsi="Arial"/>
          <w:color w:val="1C1917"/>
          <w:sz w:val="19"/>
        </w:rPr>
        <w:t>【實施日期】：2026 年 11 月 09 日 (週一全日) ｜ 【參與人員】：周副總、Howard Liao Ph.D.、各系統主責工程師</w:t>
      </w:r>
    </w:p>
    <w:p>
      <w:pPr>
        <w:spacing w:before="0" w:after="120" w:line="276" w:lineRule="auto"/>
      </w:pPr>
      <w:r>
        <w:rPr>
          <w:rFonts w:ascii="Arial" w:hAnsi="Arial"/>
          <w:color w:val="1C1917"/>
          <w:sz w:val="19"/>
        </w:rPr>
        <w:t>【當週重大進展與技術診斷】：深入 5 大核心系統進行原始碼走查。確立 CQS (.NET 8 + Vue 3) 為集團示範燈塔；排查出 RD Sample 相依於 Knockout.js 之維護斷層，以及 D365 外掛採用舊版 Web API 5.2 缺乏單元測試之缺陷。制定技術債風險分級矩陣。</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5 大系統技術棧體檢全景報告</w:t>
            </w:r>
          </w:p>
        </w:tc>
        <w:tc>
          <w:tcPr>
            <w:tcW w:type="dxa" w:w="5184"/>
            <w:shd w:fill="FFFFFF"/>
            <w:tcMar>
              <w:top w:w="60" w:type="dxa"/>
              <w:bottom w:w="60" w:type="dxa"/>
              <w:left w:w="100" w:type="dxa"/>
              <w:right w:w="100" w:type="dxa"/>
            </w:tcMar>
          </w:tcPr>
          <w:p>
            <w:r>
              <w:rPr>
                <w:rFonts w:ascii="Arial" w:hAnsi="Arial"/>
                <w:color w:val="1C1917"/>
                <w:sz w:val="16"/>
              </w:rPr>
              <w:t>深度拆解 D365 X++, RD Sample, D365外掛, CQS, 快遞之架構相依性。</w:t>
            </w:r>
          </w:p>
        </w:tc>
        <w:tc>
          <w:tcPr>
            <w:tcW w:type="dxa" w:w="1728"/>
            <w:shd w:fill="FFFFFF"/>
            <w:tcMar>
              <w:top w:w="60" w:type="dxa"/>
              <w:bottom w:w="60" w:type="dxa"/>
              <w:left w:w="100" w:type="dxa"/>
              <w:right w:w="100" w:type="dxa"/>
            </w:tcMar>
          </w:tcPr>
          <w:p>
            <w:r>
              <w:rPr>
                <w:rFonts w:ascii="Arial" w:hAnsi="Arial"/>
                <w:color w:val="1C1917"/>
                <w:sz w:val="16"/>
              </w:rPr>
              <w:t>★ 周副總核閱</w:t>
            </w:r>
          </w:p>
        </w:tc>
      </w:tr>
      <w:tr>
        <w:tc>
          <w:tcPr>
            <w:tcW w:type="dxa" w:w="3456"/>
            <w:shd w:fill="FAFAF9"/>
            <w:tcMar>
              <w:top w:w="60" w:type="dxa"/>
              <w:bottom w:w="60" w:type="dxa"/>
              <w:left w:w="100" w:type="dxa"/>
              <w:right w:w="100" w:type="dxa"/>
            </w:tcMar>
          </w:tcPr>
          <w:p>
            <w:r>
              <w:rPr>
                <w:rFonts w:ascii="Arial" w:hAnsi="Arial"/>
                <w:color w:val="1C1917"/>
                <w:sz w:val="16"/>
              </w:rPr>
              <w:t>2. .NET 4.8 淘汰與翻新路線圖</w:t>
            </w:r>
          </w:p>
        </w:tc>
        <w:tc>
          <w:tcPr>
            <w:tcW w:type="dxa" w:w="5184"/>
            <w:shd w:fill="FAFAF9"/>
            <w:tcMar>
              <w:top w:w="60" w:type="dxa"/>
              <w:bottom w:w="60" w:type="dxa"/>
              <w:left w:w="100" w:type="dxa"/>
              <w:right w:w="100" w:type="dxa"/>
            </w:tcMar>
          </w:tcPr>
          <w:p>
            <w:r>
              <w:rPr>
                <w:rFonts w:ascii="Arial" w:hAnsi="Arial"/>
                <w:color w:val="1C1917"/>
                <w:sz w:val="16"/>
              </w:rPr>
              <w:t>制定分階段過渡策略，確立首階段以 CQS 為樣板之安全邊界。</w:t>
            </w:r>
          </w:p>
        </w:tc>
        <w:tc>
          <w:tcPr>
            <w:tcW w:type="dxa" w:w="1728"/>
            <w:shd w:fill="FAFAF9"/>
            <w:tcMar>
              <w:top w:w="60" w:type="dxa"/>
              <w:bottom w:w="60" w:type="dxa"/>
              <w:left w:w="100" w:type="dxa"/>
              <w:right w:w="100" w:type="dxa"/>
            </w:tcMar>
          </w:tcPr>
          <w:p>
            <w:r>
              <w:rPr>
                <w:rFonts w:ascii="Arial" w:hAnsi="Arial"/>
                <w:color w:val="1C1917"/>
                <w:sz w:val="16"/>
              </w:rPr>
              <w:t>架構組定案</w:t>
            </w:r>
          </w:p>
        </w:tc>
      </w:tr>
      <w:tr>
        <w:tc>
          <w:tcPr>
            <w:tcW w:type="dxa" w:w="3456"/>
            <w:shd w:fill="FFFFFF"/>
            <w:tcMar>
              <w:top w:w="60" w:type="dxa"/>
              <w:bottom w:w="60" w:type="dxa"/>
              <w:left w:w="100" w:type="dxa"/>
              <w:right w:w="100" w:type="dxa"/>
            </w:tcMar>
          </w:tcPr>
          <w:p>
            <w:r>
              <w:rPr>
                <w:rFonts w:ascii="Arial" w:hAnsi="Arial"/>
                <w:color w:val="1C1917"/>
                <w:sz w:val="16"/>
              </w:rPr>
              <w:t>3. 程式碼分層違規清查清冊</w:t>
            </w:r>
          </w:p>
        </w:tc>
        <w:tc>
          <w:tcPr>
            <w:tcW w:type="dxa" w:w="5184"/>
            <w:shd w:fill="FFFFFF"/>
            <w:tcMar>
              <w:top w:w="60" w:type="dxa"/>
              <w:bottom w:w="60" w:type="dxa"/>
              <w:left w:w="100" w:type="dxa"/>
              <w:right w:w="100" w:type="dxa"/>
            </w:tcMar>
          </w:tcPr>
          <w:p>
            <w:r>
              <w:rPr>
                <w:rFonts w:ascii="Arial" w:hAnsi="Arial"/>
                <w:color w:val="1C1917"/>
                <w:sz w:val="16"/>
              </w:rPr>
              <w:t>抓出 Controller 直接下 SQL 等架構越界代碼，建立整改清單。</w:t>
            </w:r>
          </w:p>
        </w:tc>
        <w:tc>
          <w:tcPr>
            <w:tcW w:type="dxa" w:w="1728"/>
            <w:shd w:fill="FFFFFF"/>
            <w:tcMar>
              <w:top w:w="60" w:type="dxa"/>
              <w:bottom w:w="60" w:type="dxa"/>
              <w:left w:w="100" w:type="dxa"/>
              <w:right w:w="100" w:type="dxa"/>
            </w:tcMar>
          </w:tcPr>
          <w:p>
            <w:r>
              <w:rPr>
                <w:rFonts w:ascii="Arial" w:hAnsi="Arial"/>
                <w:color w:val="1C1917"/>
                <w:sz w:val="16"/>
              </w:rPr>
              <w:t>工程組備查</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10.3 Week 03 服務日實施紀錄：SCM 版控收斂計畫與 Notion 整合啟動</w:t>
      </w:r>
    </w:p>
    <w:p>
      <w:pPr>
        <w:spacing w:before="0" w:after="200"/>
      </w:pPr>
      <w:r>
        <w:rPr>
          <w:rFonts w:ascii="Arial" w:hAnsi="Arial"/>
          <w:i/>
          <w:color w:val="78716C"/>
          <w:sz w:val="19"/>
        </w:rPr>
        <w:t>Week 03 Delivery · SCM Unification to GitLab &amp; Notion Schema Kick-off</w:t>
      </w:r>
    </w:p>
    <w:p>
      <w:pPr>
        <w:spacing w:before="0" w:after="120" w:line="276" w:lineRule="auto"/>
      </w:pPr>
      <w:r>
        <w:rPr>
          <w:rFonts w:ascii="Arial" w:hAnsi="Arial"/>
          <w:color w:val="1C1917"/>
          <w:sz w:val="19"/>
        </w:rPr>
        <w:t>【實施日期】：2026 年 11 月 16 日 (週一全日) ｜ 【參與人員】：周副總、Howard Liao Ph.D.、SCM 管理員與全體同仁</w:t>
      </w:r>
    </w:p>
    <w:p>
      <w:pPr>
        <w:spacing w:before="0" w:after="120" w:line="276" w:lineRule="auto"/>
      </w:pPr>
      <w:r>
        <w:rPr>
          <w:rFonts w:ascii="Arial" w:hAnsi="Arial"/>
          <w:color w:val="1C1917"/>
          <w:sz w:val="19"/>
        </w:rPr>
        <w:t>【當週重大進展與管理落地】：拍板 Wrike 10 人專案全數收斂至集團統一 GitLab，啟動倉庫遷移；在 GitLab 正式開啟 main 分支鎖定保護，建立剛性 Merge Request (MR) 具名審查程序。開始建置 Notion 集團專案大盤與任務資料庫。</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SCM 版控與分支保護政策手冊</w:t>
            </w:r>
          </w:p>
        </w:tc>
        <w:tc>
          <w:tcPr>
            <w:tcW w:type="dxa" w:w="5184"/>
            <w:shd w:fill="FFFFFF"/>
            <w:tcMar>
              <w:top w:w="60" w:type="dxa"/>
              <w:bottom w:w="60" w:type="dxa"/>
              <w:left w:w="100" w:type="dxa"/>
              <w:right w:w="100" w:type="dxa"/>
            </w:tcMar>
          </w:tcPr>
          <w:p>
            <w:r>
              <w:rPr>
                <w:rFonts w:ascii="Arial" w:hAnsi="Arial"/>
                <w:color w:val="1C1917"/>
                <w:sz w:val="16"/>
              </w:rPr>
              <w:t>明定 Zero-Direct-Push 鐵律與 Review Matrix 三級審查門檻。</w:t>
            </w:r>
          </w:p>
        </w:tc>
        <w:tc>
          <w:tcPr>
            <w:tcW w:type="dxa" w:w="1728"/>
            <w:shd w:fill="FFFFFF"/>
            <w:tcMar>
              <w:top w:w="60" w:type="dxa"/>
              <w:bottom w:w="60" w:type="dxa"/>
              <w:left w:w="100" w:type="dxa"/>
              <w:right w:w="100" w:type="dxa"/>
            </w:tcMar>
          </w:tcPr>
          <w:p>
            <w:r>
              <w:rPr>
                <w:rFonts w:ascii="Arial" w:hAnsi="Arial"/>
                <w:color w:val="1C1917"/>
                <w:sz w:val="16"/>
              </w:rPr>
              <w:t>★ 周副總簽署</w:t>
            </w:r>
          </w:p>
        </w:tc>
      </w:tr>
      <w:tr>
        <w:tc>
          <w:tcPr>
            <w:tcW w:type="dxa" w:w="3456"/>
            <w:shd w:fill="FAFAF9"/>
            <w:tcMar>
              <w:top w:w="60" w:type="dxa"/>
              <w:bottom w:w="60" w:type="dxa"/>
              <w:left w:w="100" w:type="dxa"/>
              <w:right w:w="100" w:type="dxa"/>
            </w:tcMar>
          </w:tcPr>
          <w:p>
            <w:r>
              <w:rPr>
                <w:rFonts w:ascii="Arial" w:hAnsi="Arial"/>
                <w:color w:val="1C1917"/>
                <w:sz w:val="16"/>
              </w:rPr>
              <w:t>2. 企業級 Notion 工作空間架構</w:t>
            </w:r>
          </w:p>
        </w:tc>
        <w:tc>
          <w:tcPr>
            <w:tcW w:type="dxa" w:w="5184"/>
            <w:shd w:fill="FAFAF9"/>
            <w:tcMar>
              <w:top w:w="60" w:type="dxa"/>
              <w:bottom w:w="60" w:type="dxa"/>
              <w:left w:w="100" w:type="dxa"/>
              <w:right w:w="100" w:type="dxa"/>
            </w:tcMar>
          </w:tcPr>
          <w:p>
            <w:r>
              <w:rPr>
                <w:rFonts w:ascii="Arial" w:hAnsi="Arial"/>
                <w:color w:val="1C1917"/>
                <w:sz w:val="16"/>
              </w:rPr>
              <w:t>建立 Projects, Tasks, Wiki 三大關聯資料庫原型與工時看板。</w:t>
            </w:r>
          </w:p>
        </w:tc>
        <w:tc>
          <w:tcPr>
            <w:tcW w:type="dxa" w:w="1728"/>
            <w:shd w:fill="FAFAF9"/>
            <w:tcMar>
              <w:top w:w="60" w:type="dxa"/>
              <w:bottom w:w="60" w:type="dxa"/>
              <w:left w:w="100" w:type="dxa"/>
              <w:right w:w="100" w:type="dxa"/>
            </w:tcMar>
          </w:tcPr>
          <w:p>
            <w:r>
              <w:rPr>
                <w:rFonts w:ascii="Arial" w:hAnsi="Arial"/>
                <w:color w:val="1C1917"/>
                <w:sz w:val="16"/>
              </w:rPr>
              <w:t>ITS 處長驗收</w:t>
            </w:r>
          </w:p>
        </w:tc>
      </w:tr>
      <w:tr>
        <w:tc>
          <w:tcPr>
            <w:tcW w:type="dxa" w:w="3456"/>
            <w:shd w:fill="FFFFFF"/>
            <w:tcMar>
              <w:top w:w="60" w:type="dxa"/>
              <w:bottom w:w="60" w:type="dxa"/>
              <w:left w:w="100" w:type="dxa"/>
              <w:right w:w="100" w:type="dxa"/>
            </w:tcMar>
          </w:tcPr>
          <w:p>
            <w:r>
              <w:rPr>
                <w:rFonts w:ascii="Arial" w:hAnsi="Arial"/>
                <w:color w:val="1C1917"/>
                <w:sz w:val="16"/>
              </w:rPr>
              <w:t>3. Git 倉庫安全遷移 SOP</w:t>
            </w:r>
          </w:p>
        </w:tc>
        <w:tc>
          <w:tcPr>
            <w:tcW w:type="dxa" w:w="5184"/>
            <w:shd w:fill="FFFFFF"/>
            <w:tcMar>
              <w:top w:w="60" w:type="dxa"/>
              <w:bottom w:w="60" w:type="dxa"/>
              <w:left w:w="100" w:type="dxa"/>
              <w:right w:w="100" w:type="dxa"/>
            </w:tcMar>
          </w:tcPr>
          <w:p>
            <w:r>
              <w:rPr>
                <w:rFonts w:ascii="Arial" w:hAnsi="Arial"/>
                <w:color w:val="1C1917"/>
                <w:sz w:val="16"/>
              </w:rPr>
              <w:t>發布歷史紀錄無損轉移與 Secret 脫敏標準作業程序。</w:t>
            </w:r>
          </w:p>
        </w:tc>
        <w:tc>
          <w:tcPr>
            <w:tcW w:type="dxa" w:w="1728"/>
            <w:shd w:fill="FFFFFF"/>
            <w:tcMar>
              <w:top w:w="60" w:type="dxa"/>
              <w:bottom w:w="60" w:type="dxa"/>
              <w:left w:w="100" w:type="dxa"/>
              <w:right w:w="100" w:type="dxa"/>
            </w:tcMar>
          </w:tcPr>
          <w:p>
            <w:r>
              <w:rPr>
                <w:rFonts w:ascii="Arial" w:hAnsi="Arial"/>
                <w:color w:val="1C1917"/>
                <w:sz w:val="16"/>
              </w:rPr>
              <w:t>工程組實施</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10.4 Week 04 服務日實施紀錄：D365 F&amp;O 整合升級與 Synapse Link PoC</w:t>
      </w:r>
    </w:p>
    <w:p>
      <w:pPr>
        <w:spacing w:before="0" w:after="200"/>
      </w:pPr>
      <w:r>
        <w:rPr>
          <w:rFonts w:ascii="Arial" w:hAnsi="Arial"/>
          <w:i/>
          <w:color w:val="78716C"/>
          <w:sz w:val="19"/>
        </w:rPr>
        <w:t>Week 04 Delivery · D365 Integration Defense &amp; Synapse Link PoC Validation</w:t>
      </w:r>
    </w:p>
    <w:p>
      <w:pPr>
        <w:spacing w:before="0" w:after="120" w:line="276" w:lineRule="auto"/>
      </w:pPr>
      <w:r>
        <w:rPr>
          <w:rFonts w:ascii="Arial" w:hAnsi="Arial"/>
          <w:color w:val="1C1917"/>
          <w:sz w:val="19"/>
        </w:rPr>
        <w:t>【實施日期】：2026 年 11 月 23 日 (週一全日) ｜ 【參與人員】：周副總、Howard Liao Ph.D.、D365 ERP 核心團隊</w:t>
      </w:r>
    </w:p>
    <w:p>
      <w:pPr>
        <w:spacing w:before="0" w:after="120" w:line="276" w:lineRule="auto"/>
      </w:pPr>
      <w:r>
        <w:rPr>
          <w:rFonts w:ascii="Arial" w:hAnsi="Arial"/>
          <w:color w:val="1C1917"/>
          <w:sz w:val="19"/>
        </w:rPr>
        <w:t>【當週重大進展與風險阻斷】：針對微軟 2026-11-30 停用 Export to Data Lake 展開防禦。完成 Azure Synapse Link for F&amp;O 概念驗證（PoC），實測以近即時串流將 SalesTable 輸出為 Parquet 格式落入 ADLS Gen2，驗證 ERP 運算零衝擊。</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D365 整合路線評估白皮書</w:t>
            </w:r>
          </w:p>
        </w:tc>
        <w:tc>
          <w:tcPr>
            <w:tcW w:type="dxa" w:w="5184"/>
            <w:shd w:fill="FFFFFF"/>
            <w:tcMar>
              <w:top w:w="60" w:type="dxa"/>
              <w:bottom w:w="60" w:type="dxa"/>
              <w:left w:w="100" w:type="dxa"/>
              <w:right w:w="100" w:type="dxa"/>
            </w:tcMar>
          </w:tcPr>
          <w:p>
            <w:r>
              <w:rPr>
                <w:rFonts w:ascii="Arial" w:hAnsi="Arial"/>
                <w:color w:val="1C1917"/>
                <w:sz w:val="16"/>
              </w:rPr>
              <w:t>分析 Synapse Link vs Fabric Link 之 TCO 與維運代價，選定 Synapse。</w:t>
            </w:r>
          </w:p>
        </w:tc>
        <w:tc>
          <w:tcPr>
            <w:tcW w:type="dxa" w:w="1728"/>
            <w:shd w:fill="FFFFFF"/>
            <w:tcMar>
              <w:top w:w="60" w:type="dxa"/>
              <w:bottom w:w="60" w:type="dxa"/>
              <w:left w:w="100" w:type="dxa"/>
              <w:right w:w="100" w:type="dxa"/>
            </w:tcMar>
          </w:tcPr>
          <w:p>
            <w:r>
              <w:rPr>
                <w:rFonts w:ascii="Arial" w:hAnsi="Arial"/>
                <w:color w:val="1C1917"/>
                <w:sz w:val="16"/>
              </w:rPr>
              <w:t>★ 周副總核可</w:t>
            </w:r>
          </w:p>
        </w:tc>
      </w:tr>
      <w:tr>
        <w:tc>
          <w:tcPr>
            <w:tcW w:type="dxa" w:w="3456"/>
            <w:shd w:fill="FAFAF9"/>
            <w:tcMar>
              <w:top w:w="60" w:type="dxa"/>
              <w:bottom w:w="60" w:type="dxa"/>
              <w:left w:w="100" w:type="dxa"/>
              <w:right w:w="100" w:type="dxa"/>
            </w:tcMar>
          </w:tcPr>
          <w:p>
            <w:r>
              <w:rPr>
                <w:rFonts w:ascii="Arial" w:hAnsi="Arial"/>
                <w:color w:val="1C1917"/>
                <w:sz w:val="16"/>
              </w:rPr>
              <w:t>2. Synapse Link PoC 實測報告</w:t>
            </w:r>
          </w:p>
        </w:tc>
        <w:tc>
          <w:tcPr>
            <w:tcW w:type="dxa" w:w="5184"/>
            <w:shd w:fill="FAFAF9"/>
            <w:tcMar>
              <w:top w:w="60" w:type="dxa"/>
              <w:bottom w:w="60" w:type="dxa"/>
              <w:left w:w="100" w:type="dxa"/>
              <w:right w:w="100" w:type="dxa"/>
            </w:tcMar>
          </w:tcPr>
          <w:p>
            <w:r>
              <w:rPr>
                <w:rFonts w:ascii="Arial" w:hAnsi="Arial"/>
                <w:color w:val="1C1917"/>
                <w:sz w:val="16"/>
              </w:rPr>
              <w:t>出具每小時 10 萬筆訂單資料同步無延遲、CPU 佔用 &lt; 2% 之實測數據。</w:t>
            </w:r>
          </w:p>
        </w:tc>
        <w:tc>
          <w:tcPr>
            <w:tcW w:type="dxa" w:w="1728"/>
            <w:shd w:fill="FAFAF9"/>
            <w:tcMar>
              <w:top w:w="60" w:type="dxa"/>
              <w:bottom w:w="60" w:type="dxa"/>
              <w:left w:w="100" w:type="dxa"/>
              <w:right w:w="100" w:type="dxa"/>
            </w:tcMar>
          </w:tcPr>
          <w:p>
            <w:r>
              <w:rPr>
                <w:rFonts w:ascii="Arial" w:hAnsi="Arial"/>
                <w:color w:val="1C1917"/>
                <w:sz w:val="16"/>
              </w:rPr>
              <w:t>ERP 主管簽章</w:t>
            </w:r>
          </w:p>
        </w:tc>
      </w:tr>
      <w:tr>
        <w:tc>
          <w:tcPr>
            <w:tcW w:type="dxa" w:w="3456"/>
            <w:shd w:fill="FFFFFF"/>
            <w:tcMar>
              <w:top w:w="60" w:type="dxa"/>
              <w:bottom w:w="60" w:type="dxa"/>
              <w:left w:w="100" w:type="dxa"/>
              <w:right w:w="100" w:type="dxa"/>
            </w:tcMar>
          </w:tcPr>
          <w:p>
            <w:r>
              <w:rPr>
                <w:rFonts w:ascii="Arial" w:hAnsi="Arial"/>
                <w:color w:val="1C1917"/>
                <w:sz w:val="16"/>
              </w:rPr>
              <w:t>3. 2026-11-30 停用防禦切換計畫</w:t>
            </w:r>
          </w:p>
        </w:tc>
        <w:tc>
          <w:tcPr>
            <w:tcW w:type="dxa" w:w="5184"/>
            <w:shd w:fill="FFFFFF"/>
            <w:tcMar>
              <w:top w:w="60" w:type="dxa"/>
              <w:bottom w:w="60" w:type="dxa"/>
              <w:left w:w="100" w:type="dxa"/>
              <w:right w:w="100" w:type="dxa"/>
            </w:tcMar>
          </w:tcPr>
          <w:p>
            <w:r>
              <w:rPr>
                <w:rFonts w:ascii="Arial" w:hAnsi="Arial"/>
                <w:color w:val="1C1917"/>
                <w:sz w:val="16"/>
              </w:rPr>
              <w:t>排定生產環境平滑切換甘特圖，徹底消除業務中斷威脅。</w:t>
            </w:r>
          </w:p>
        </w:tc>
        <w:tc>
          <w:tcPr>
            <w:tcW w:type="dxa" w:w="1728"/>
            <w:shd w:fill="FFFFFF"/>
            <w:tcMar>
              <w:top w:w="60" w:type="dxa"/>
              <w:bottom w:w="60" w:type="dxa"/>
              <w:left w:w="100" w:type="dxa"/>
              <w:right w:w="100" w:type="dxa"/>
            </w:tcMar>
          </w:tcPr>
          <w:p>
            <w:r>
              <w:rPr>
                <w:rFonts w:ascii="Arial" w:hAnsi="Arial"/>
                <w:color w:val="1C1917"/>
                <w:sz w:val="16"/>
              </w:rPr>
              <w:t>專案組列管</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10.5 Week 05 服務日實施紀錄：海外三廠 ASUS GX10 邊緣自治架構定案</w:t>
      </w:r>
    </w:p>
    <w:p>
      <w:pPr>
        <w:spacing w:before="0" w:after="200"/>
      </w:pPr>
      <w:r>
        <w:rPr>
          <w:rFonts w:ascii="Arial" w:hAnsi="Arial"/>
          <w:i/>
          <w:color w:val="78716C"/>
          <w:sz w:val="19"/>
        </w:rPr>
        <w:t>Week 05 Delivery · ASUS Ascent GX10 Edge Topology &amp; 48-72h Protocol</w:t>
      </w:r>
    </w:p>
    <w:p>
      <w:pPr>
        <w:spacing w:before="0" w:after="120" w:line="276" w:lineRule="auto"/>
      </w:pPr>
      <w:r>
        <w:rPr>
          <w:rFonts w:ascii="Arial" w:hAnsi="Arial"/>
          <w:color w:val="1C1917"/>
          <w:sz w:val="19"/>
        </w:rPr>
        <w:t>【實施日期】：2026 年 11 月 30 日 (週一全日) ｜ 【參與人員】：周副總、Howard Liao Ph.D.、海外各廠廠長連線</w:t>
      </w:r>
    </w:p>
    <w:p>
      <w:pPr>
        <w:spacing w:before="0" w:after="120" w:line="276" w:lineRule="auto"/>
      </w:pPr>
      <w:r>
        <w:rPr>
          <w:rFonts w:ascii="Arial" w:hAnsi="Arial"/>
          <w:color w:val="1C1917"/>
          <w:sz w:val="19"/>
        </w:rPr>
        <w:t>【當週重大進展與邊緣定案】：正式採納周副總指示，海外工廠全面選用華碩 ASUS Ascent GX10 邊緣迷你 AI 工作站。確立海外車間『48～72 小時離線生產自律協議』，設計 SQLite WAL 預寫日誌與本地快取機制，消滅海纜斷網停工恐懼。</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ASUS Ascent GX10 部署規範書</w:t>
            </w:r>
          </w:p>
        </w:tc>
        <w:tc>
          <w:tcPr>
            <w:tcW w:type="dxa" w:w="5184"/>
            <w:shd w:fill="FFFFFF"/>
            <w:tcMar>
              <w:top w:w="60" w:type="dxa"/>
              <w:bottom w:w="60" w:type="dxa"/>
              <w:left w:w="100" w:type="dxa"/>
              <w:right w:w="100" w:type="dxa"/>
            </w:tcMar>
          </w:tcPr>
          <w:p>
            <w:r>
              <w:rPr>
                <w:rFonts w:ascii="Arial" w:hAnsi="Arial"/>
                <w:color w:val="1C1917"/>
                <w:sz w:val="16"/>
              </w:rPr>
              <w:t>制定車間壁掛導軌安裝、防塵濾網清潔與寬溫作業 SOP。</w:t>
            </w:r>
          </w:p>
        </w:tc>
        <w:tc>
          <w:tcPr>
            <w:tcW w:type="dxa" w:w="1728"/>
            <w:shd w:fill="FFFFFF"/>
            <w:tcMar>
              <w:top w:w="60" w:type="dxa"/>
              <w:bottom w:w="60" w:type="dxa"/>
              <w:left w:w="100" w:type="dxa"/>
              <w:right w:w="100" w:type="dxa"/>
            </w:tcMar>
          </w:tcPr>
          <w:p>
            <w:r>
              <w:rPr>
                <w:rFonts w:ascii="Arial" w:hAnsi="Arial"/>
                <w:color w:val="1C1917"/>
                <w:sz w:val="16"/>
              </w:rPr>
              <w:t>★ 周副總核定</w:t>
            </w:r>
          </w:p>
        </w:tc>
      </w:tr>
      <w:tr>
        <w:tc>
          <w:tcPr>
            <w:tcW w:type="dxa" w:w="3456"/>
            <w:shd w:fill="FAFAF9"/>
            <w:tcMar>
              <w:top w:w="60" w:type="dxa"/>
              <w:bottom w:w="60" w:type="dxa"/>
              <w:left w:w="100" w:type="dxa"/>
              <w:right w:w="100" w:type="dxa"/>
            </w:tcMar>
          </w:tcPr>
          <w:p>
            <w:r>
              <w:rPr>
                <w:rFonts w:ascii="Arial" w:hAnsi="Arial"/>
                <w:color w:val="1C1917"/>
                <w:sz w:val="16"/>
              </w:rPr>
              <w:t>2. 48~72h 邊緣離線自治架構圖資</w:t>
            </w:r>
          </w:p>
        </w:tc>
        <w:tc>
          <w:tcPr>
            <w:tcW w:type="dxa" w:w="5184"/>
            <w:shd w:fill="FAFAF9"/>
            <w:tcMar>
              <w:top w:w="60" w:type="dxa"/>
              <w:bottom w:w="60" w:type="dxa"/>
              <w:left w:w="100" w:type="dxa"/>
              <w:right w:w="100" w:type="dxa"/>
            </w:tcMar>
          </w:tcPr>
          <w:p>
            <w:r>
              <w:rPr>
                <w:rFonts w:ascii="Arial" w:hAnsi="Arial"/>
                <w:color w:val="1C1917"/>
                <w:sz w:val="16"/>
              </w:rPr>
              <w:t>完成 Envoy Proxy 本地接管、DuckDB 差分日誌與斷網狀態機架構圖。</w:t>
            </w:r>
          </w:p>
        </w:tc>
        <w:tc>
          <w:tcPr>
            <w:tcW w:type="dxa" w:w="1728"/>
            <w:shd w:fill="FAFAF9"/>
            <w:tcMar>
              <w:top w:w="60" w:type="dxa"/>
              <w:bottom w:w="60" w:type="dxa"/>
              <w:left w:w="100" w:type="dxa"/>
              <w:right w:w="100" w:type="dxa"/>
            </w:tcMar>
          </w:tcPr>
          <w:p>
            <w:r>
              <w:rPr>
                <w:rFonts w:ascii="Arial" w:hAnsi="Arial"/>
                <w:color w:val="1C1917"/>
                <w:sz w:val="16"/>
              </w:rPr>
              <w:t>海外廠長會簽</w:t>
            </w:r>
          </w:p>
        </w:tc>
      </w:tr>
      <w:tr>
        <w:tc>
          <w:tcPr>
            <w:tcW w:type="dxa" w:w="3456"/>
            <w:shd w:fill="FFFFFF"/>
            <w:tcMar>
              <w:top w:w="60" w:type="dxa"/>
              <w:bottom w:w="60" w:type="dxa"/>
              <w:left w:w="100" w:type="dxa"/>
              <w:right w:w="100" w:type="dxa"/>
            </w:tcMar>
          </w:tcPr>
          <w:p>
            <w:r>
              <w:rPr>
                <w:rFonts w:ascii="Arial" w:hAnsi="Arial"/>
                <w:color w:val="1C1917"/>
                <w:sz w:val="16"/>
              </w:rPr>
              <w:t>3. 工廠邊緣主機採購規格清冊</w:t>
            </w:r>
          </w:p>
        </w:tc>
        <w:tc>
          <w:tcPr>
            <w:tcW w:type="dxa" w:w="5184"/>
            <w:shd w:fill="FFFFFF"/>
            <w:tcMar>
              <w:top w:w="60" w:type="dxa"/>
              <w:bottom w:w="60" w:type="dxa"/>
              <w:left w:w="100" w:type="dxa"/>
              <w:right w:w="100" w:type="dxa"/>
            </w:tcMar>
          </w:tcPr>
          <w:p>
            <w:r>
              <w:rPr>
                <w:rFonts w:ascii="Arial" w:hAnsi="Arial"/>
                <w:color w:val="1C1917"/>
                <w:sz w:val="16"/>
              </w:rPr>
              <w:t>單台成本控制在 8 萬元以內，全廠數十萬搞定，性價比極致。</w:t>
            </w:r>
          </w:p>
        </w:tc>
        <w:tc>
          <w:tcPr>
            <w:tcW w:type="dxa" w:w="1728"/>
            <w:shd w:fill="FFFFFF"/>
            <w:tcMar>
              <w:top w:w="60" w:type="dxa"/>
              <w:bottom w:w="60" w:type="dxa"/>
              <w:left w:w="100" w:type="dxa"/>
              <w:right w:w="100" w:type="dxa"/>
            </w:tcMar>
          </w:tcPr>
          <w:p>
            <w:r>
              <w:rPr>
                <w:rFonts w:ascii="Arial" w:hAnsi="Arial"/>
                <w:color w:val="1C1917"/>
                <w:sz w:val="16"/>
              </w:rPr>
              <w:t>採購部備查</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10.6 Week 06 服務日實施紀錄：機房 85 萬網路儲存升級與中期審查 (M1)</w:t>
      </w:r>
    </w:p>
    <w:p>
      <w:pPr>
        <w:spacing w:before="0" w:after="200"/>
      </w:pPr>
      <w:r>
        <w:rPr>
          <w:rFonts w:ascii="Arial" w:hAnsi="Arial"/>
          <w:i/>
          <w:color w:val="78716C"/>
          <w:sz w:val="19"/>
        </w:rPr>
        <w:t>Week 06 Delivery · Mid-term Review (M1) &amp; 850k Switch/NetApp Sign-off</w:t>
      </w:r>
    </w:p>
    <w:p>
      <w:pPr>
        <w:spacing w:before="0" w:after="120" w:line="276" w:lineRule="auto"/>
      </w:pPr>
      <w:r>
        <w:rPr>
          <w:rFonts w:ascii="Arial" w:hAnsi="Arial"/>
          <w:color w:val="1C1917"/>
          <w:sz w:val="19"/>
        </w:rPr>
        <w:t>【實施日期】：2026 年 12 月 07 日 (週一全日) ｜ 【參與人員】：周副總、Howard Liao Ph.D.、總部機房工程師</w:t>
      </w:r>
    </w:p>
    <w:p>
      <w:pPr>
        <w:spacing w:before="0" w:after="120" w:line="276" w:lineRule="auto"/>
      </w:pPr>
      <w:r>
        <w:rPr>
          <w:rFonts w:ascii="Arial" w:hAnsi="Arial"/>
          <w:color w:val="1C1917"/>
          <w:sz w:val="19"/>
        </w:rPr>
        <w:t>【當週重大進展與中期里程碑 M1 突破】：召開中期正式審查會（Milestone M1）。副總確認 Core Switch 更換 25G 模組與 NetApp 儲存擴充編列 85 萬方向正確；顧問提出採用 25G DAC 直連銅纜降本 70% 建議獲副總全盤採納。M1 里程碑宣告 100% 達標！</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M1 中期審查總結與里程碑核定</w:t>
            </w:r>
          </w:p>
        </w:tc>
        <w:tc>
          <w:tcPr>
            <w:tcW w:type="dxa" w:w="5184"/>
            <w:shd w:fill="FFFFFF"/>
            <w:tcMar>
              <w:top w:w="60" w:type="dxa"/>
              <w:bottom w:w="60" w:type="dxa"/>
              <w:left w:w="100" w:type="dxa"/>
              <w:right w:w="100" w:type="dxa"/>
            </w:tcMar>
          </w:tcPr>
          <w:p>
            <w:r>
              <w:rPr>
                <w:rFonts w:ascii="Arial" w:hAnsi="Arial"/>
                <w:color w:val="1C1917"/>
                <w:sz w:val="16"/>
              </w:rPr>
              <w:t>審查前 6 週所有交付物，確認 Pillar I 八大領域進度無落後。</w:t>
            </w:r>
          </w:p>
        </w:tc>
        <w:tc>
          <w:tcPr>
            <w:tcW w:type="dxa" w:w="1728"/>
            <w:shd w:fill="FFFFFF"/>
            <w:tcMar>
              <w:top w:w="60" w:type="dxa"/>
              <w:bottom w:w="60" w:type="dxa"/>
              <w:left w:w="100" w:type="dxa"/>
              <w:right w:w="100" w:type="dxa"/>
            </w:tcMar>
          </w:tcPr>
          <w:p>
            <w:r>
              <w:rPr>
                <w:rFonts w:ascii="Arial" w:hAnsi="Arial"/>
                <w:color w:val="1C1917"/>
                <w:sz w:val="16"/>
              </w:rPr>
              <w:t>★ 周副總雙簽放行</w:t>
            </w:r>
          </w:p>
        </w:tc>
      </w:tr>
      <w:tr>
        <w:tc>
          <w:tcPr>
            <w:tcW w:type="dxa" w:w="3456"/>
            <w:shd w:fill="FAFAF9"/>
            <w:tcMar>
              <w:top w:w="60" w:type="dxa"/>
              <w:bottom w:w="60" w:type="dxa"/>
              <w:left w:w="100" w:type="dxa"/>
              <w:right w:w="100" w:type="dxa"/>
            </w:tcMar>
          </w:tcPr>
          <w:p>
            <w:r>
              <w:rPr>
                <w:rFonts w:ascii="Arial" w:hAnsi="Arial"/>
                <w:color w:val="1C1917"/>
                <w:sz w:val="16"/>
              </w:rPr>
              <w:t>2. 85 萬機房網路儲存規格核定書</w:t>
            </w:r>
          </w:p>
        </w:tc>
        <w:tc>
          <w:tcPr>
            <w:tcW w:type="dxa" w:w="5184"/>
            <w:shd w:fill="FAFAF9"/>
            <w:tcMar>
              <w:top w:w="60" w:type="dxa"/>
              <w:bottom w:w="60" w:type="dxa"/>
              <w:left w:w="100" w:type="dxa"/>
              <w:right w:w="100" w:type="dxa"/>
            </w:tcMar>
          </w:tcPr>
          <w:p>
            <w:r>
              <w:rPr>
                <w:rFonts w:ascii="Arial" w:hAnsi="Arial"/>
                <w:color w:val="1C1917"/>
                <w:sz w:val="16"/>
              </w:rPr>
              <w:t>核定 NetApp Quad 25G SFP28 ＋ Core Switch 模組更換詳細 BOM 表。</w:t>
            </w:r>
          </w:p>
        </w:tc>
        <w:tc>
          <w:tcPr>
            <w:tcW w:type="dxa" w:w="1728"/>
            <w:shd w:fill="FAFAF9"/>
            <w:tcMar>
              <w:top w:w="60" w:type="dxa"/>
              <w:bottom w:w="60" w:type="dxa"/>
              <w:left w:w="100" w:type="dxa"/>
              <w:right w:w="100" w:type="dxa"/>
            </w:tcMar>
          </w:tcPr>
          <w:p>
            <w:r>
              <w:rPr>
                <w:rFonts w:ascii="Arial" w:hAnsi="Arial"/>
                <w:color w:val="1C1917"/>
                <w:sz w:val="16"/>
              </w:rPr>
              <w:t>機房主管簽署</w:t>
            </w:r>
          </w:p>
        </w:tc>
      </w:tr>
      <w:tr>
        <w:tc>
          <w:tcPr>
            <w:tcW w:type="dxa" w:w="3456"/>
            <w:shd w:fill="FFFFFF"/>
            <w:tcMar>
              <w:top w:w="60" w:type="dxa"/>
              <w:bottom w:w="60" w:type="dxa"/>
              <w:left w:w="100" w:type="dxa"/>
              <w:right w:w="100" w:type="dxa"/>
            </w:tcMar>
          </w:tcPr>
          <w:p>
            <w:r>
              <w:rPr>
                <w:rFonts w:ascii="Arial" w:hAnsi="Arial"/>
                <w:color w:val="1C1917"/>
                <w:sz w:val="16"/>
              </w:rPr>
              <w:t>3. 25G DAC 直連線降本工程分析</w:t>
            </w:r>
          </w:p>
        </w:tc>
        <w:tc>
          <w:tcPr>
            <w:tcW w:type="dxa" w:w="5184"/>
            <w:shd w:fill="FFFFFF"/>
            <w:tcMar>
              <w:top w:w="60" w:type="dxa"/>
              <w:bottom w:w="60" w:type="dxa"/>
              <w:left w:w="100" w:type="dxa"/>
              <w:right w:w="100" w:type="dxa"/>
            </w:tcMar>
          </w:tcPr>
          <w:p>
            <w:r>
              <w:rPr>
                <w:rFonts w:ascii="Arial" w:hAnsi="Arial"/>
                <w:color w:val="1C1917"/>
                <w:sz w:val="16"/>
              </w:rPr>
              <w:t>出具 DAC 取代光纖跳線之延遲、散熱與費用優勢論證報告。</w:t>
            </w:r>
          </w:p>
        </w:tc>
        <w:tc>
          <w:tcPr>
            <w:tcW w:type="dxa" w:w="1728"/>
            <w:shd w:fill="FFFFFF"/>
            <w:tcMar>
              <w:top w:w="60" w:type="dxa"/>
              <w:bottom w:w="60" w:type="dxa"/>
              <w:left w:w="100" w:type="dxa"/>
              <w:right w:w="100" w:type="dxa"/>
            </w:tcMar>
          </w:tcPr>
          <w:p>
            <w:r>
              <w:rPr>
                <w:rFonts w:ascii="Arial" w:hAnsi="Arial"/>
                <w:color w:val="1C1917"/>
                <w:sz w:val="16"/>
              </w:rPr>
              <w:t>專案組存檔</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10.7 Week 07 服務日實施紀錄：訂單款式結構圖去識別化與 AWS 算力配置</w:t>
      </w:r>
    </w:p>
    <w:p>
      <w:pPr>
        <w:spacing w:before="0" w:after="200"/>
      </w:pPr>
      <w:r>
        <w:rPr>
          <w:rFonts w:ascii="Arial" w:hAnsi="Arial"/>
          <w:i/>
          <w:color w:val="78716C"/>
          <w:sz w:val="19"/>
        </w:rPr>
        <w:t>Week 07 Delivery · Style Sketch De-identification &amp; AWS OpEx Sizing</w:t>
      </w:r>
    </w:p>
    <w:p>
      <w:pPr>
        <w:spacing w:before="0" w:after="120" w:line="276" w:lineRule="auto"/>
      </w:pPr>
      <w:r>
        <w:rPr>
          <w:rFonts w:ascii="Arial" w:hAnsi="Arial"/>
          <w:color w:val="1C1917"/>
          <w:sz w:val="19"/>
        </w:rPr>
        <w:t>【實施日期】：2026 年 12 月 14 日 (週一全日) ｜ 【參與人員】：周副總、Howard Liao Ph.D.、AI 專案小組</w:t>
      </w:r>
    </w:p>
    <w:p>
      <w:pPr>
        <w:spacing w:before="0" w:after="120" w:line="276" w:lineRule="auto"/>
      </w:pPr>
      <w:r>
        <w:rPr>
          <w:rFonts w:ascii="Arial" w:hAnsi="Arial"/>
          <w:color w:val="1C1917"/>
          <w:sz w:val="19"/>
        </w:rPr>
        <w:t>【當週重大進展與預算釐清】：全面正名成衣款式圖為『訂單款式結構圖』或『款式平面工藝圖』，淘汰俗稱。釐清 AWS 算力 30~50 萬為『全年度總額（年費）』，消除副總每月花費疑慮。制定圖檔本地去識別化脫敏與 AWS Bedrock / S3 向量比對架構。</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訂單款式結構圖去識別化 SOP</w:t>
            </w:r>
          </w:p>
        </w:tc>
        <w:tc>
          <w:tcPr>
            <w:tcW w:type="dxa" w:w="5184"/>
            <w:shd w:fill="FFFFFF"/>
            <w:tcMar>
              <w:top w:w="60" w:type="dxa"/>
              <w:bottom w:w="60" w:type="dxa"/>
              <w:left w:w="100" w:type="dxa"/>
              <w:right w:w="100" w:type="dxa"/>
            </w:tcMar>
          </w:tcPr>
          <w:p>
            <w:r>
              <w:rPr>
                <w:rFonts w:ascii="Arial" w:hAnsi="Arial"/>
                <w:color w:val="1C1917"/>
                <w:sz w:val="16"/>
              </w:rPr>
              <w:t>建立本地去除品牌 Logo、款號與工廠代碼之自動化前處理管線。</w:t>
            </w:r>
          </w:p>
        </w:tc>
        <w:tc>
          <w:tcPr>
            <w:tcW w:type="dxa" w:w="1728"/>
            <w:shd w:fill="FFFFFF"/>
            <w:tcMar>
              <w:top w:w="60" w:type="dxa"/>
              <w:bottom w:w="60" w:type="dxa"/>
              <w:left w:w="100" w:type="dxa"/>
              <w:right w:w="100" w:type="dxa"/>
            </w:tcMar>
          </w:tcPr>
          <w:p>
            <w:r>
              <w:rPr>
                <w:rFonts w:ascii="Arial" w:hAnsi="Arial"/>
                <w:color w:val="1C1917"/>
                <w:sz w:val="16"/>
              </w:rPr>
              <w:t>★ 周副總簽核</w:t>
            </w:r>
          </w:p>
        </w:tc>
      </w:tr>
      <w:tr>
        <w:tc>
          <w:tcPr>
            <w:tcW w:type="dxa" w:w="3456"/>
            <w:shd w:fill="FAFAF9"/>
            <w:tcMar>
              <w:top w:w="60" w:type="dxa"/>
              <w:bottom w:w="60" w:type="dxa"/>
              <w:left w:w="100" w:type="dxa"/>
              <w:right w:w="100" w:type="dxa"/>
            </w:tcMar>
          </w:tcPr>
          <w:p>
            <w:r>
              <w:rPr>
                <w:rFonts w:ascii="Arial" w:hAnsi="Arial"/>
                <w:color w:val="1C1917"/>
                <w:sz w:val="16"/>
              </w:rPr>
              <w:t>2. AWS 雲端年度算力預算分析書</w:t>
            </w:r>
          </w:p>
        </w:tc>
        <w:tc>
          <w:tcPr>
            <w:tcW w:type="dxa" w:w="5184"/>
            <w:shd w:fill="FAFAF9"/>
            <w:tcMar>
              <w:top w:w="60" w:type="dxa"/>
              <w:bottom w:w="60" w:type="dxa"/>
              <w:left w:w="100" w:type="dxa"/>
              <w:right w:w="100" w:type="dxa"/>
            </w:tcMar>
          </w:tcPr>
          <w:p>
            <w:r>
              <w:rPr>
                <w:rFonts w:ascii="Arial" w:hAnsi="Arial"/>
                <w:color w:val="1C1917"/>
                <w:sz w:val="16"/>
              </w:rPr>
              <w:t>鎖定全年度約 30~50 萬元 (每月約 3~4 萬)，確立無折舊彈性策略。</w:t>
            </w:r>
          </w:p>
        </w:tc>
        <w:tc>
          <w:tcPr>
            <w:tcW w:type="dxa" w:w="1728"/>
            <w:shd w:fill="FAFAF9"/>
            <w:tcMar>
              <w:top w:w="60" w:type="dxa"/>
              <w:bottom w:w="60" w:type="dxa"/>
              <w:left w:w="100" w:type="dxa"/>
              <w:right w:w="100" w:type="dxa"/>
            </w:tcMar>
          </w:tcPr>
          <w:p>
            <w:r>
              <w:rPr>
                <w:rFonts w:ascii="Arial" w:hAnsi="Arial"/>
                <w:color w:val="1C1917"/>
                <w:sz w:val="16"/>
              </w:rPr>
              <w:t>財務處會簽</w:t>
            </w:r>
          </w:p>
        </w:tc>
      </w:tr>
      <w:tr>
        <w:tc>
          <w:tcPr>
            <w:tcW w:type="dxa" w:w="3456"/>
            <w:shd w:fill="FFFFFF"/>
            <w:tcMar>
              <w:top w:w="60" w:type="dxa"/>
              <w:bottom w:w="60" w:type="dxa"/>
              <w:left w:w="100" w:type="dxa"/>
              <w:right w:w="100" w:type="dxa"/>
            </w:tcMar>
          </w:tcPr>
          <w:p>
            <w:r>
              <w:rPr>
                <w:rFonts w:ascii="Arial" w:hAnsi="Arial"/>
                <w:color w:val="1C1917"/>
                <w:sz w:val="16"/>
              </w:rPr>
              <w:t>3. 成衣專業工程名詞標準對照表</w:t>
            </w:r>
          </w:p>
        </w:tc>
        <w:tc>
          <w:tcPr>
            <w:tcW w:type="dxa" w:w="5184"/>
            <w:shd w:fill="FFFFFF"/>
            <w:tcMar>
              <w:top w:w="60" w:type="dxa"/>
              <w:bottom w:w="60" w:type="dxa"/>
              <w:left w:w="100" w:type="dxa"/>
              <w:right w:w="100" w:type="dxa"/>
            </w:tcMar>
          </w:tcPr>
          <w:p>
            <w:r>
              <w:rPr>
                <w:rFonts w:ascii="Arial" w:hAnsi="Arial"/>
                <w:color w:val="1C1917"/>
                <w:sz w:val="16"/>
              </w:rPr>
              <w:t>正式確立款式平面工藝圖等國際製造術語，全面替換系統字樣。</w:t>
            </w:r>
          </w:p>
        </w:tc>
        <w:tc>
          <w:tcPr>
            <w:tcW w:type="dxa" w:w="1728"/>
            <w:shd w:fill="FFFFFF"/>
            <w:tcMar>
              <w:top w:w="60" w:type="dxa"/>
              <w:bottom w:w="60" w:type="dxa"/>
              <w:left w:w="100" w:type="dxa"/>
              <w:right w:w="100" w:type="dxa"/>
            </w:tcMar>
          </w:tcPr>
          <w:p>
            <w:r>
              <w:rPr>
                <w:rFonts w:ascii="Arial" w:hAnsi="Arial"/>
                <w:color w:val="1C1917"/>
                <w:sz w:val="16"/>
              </w:rPr>
              <w:t>業務技術公佈</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10.8 Week 08 服務日實施紀錄：雙層語意層設計與成衣 20 大指標統一</w:t>
      </w:r>
    </w:p>
    <w:p>
      <w:pPr>
        <w:spacing w:before="0" w:after="200"/>
      </w:pPr>
      <w:r>
        <w:rPr>
          <w:rFonts w:ascii="Arial" w:hAnsi="Arial"/>
          <w:i/>
          <w:color w:val="78716C"/>
          <w:sz w:val="19"/>
        </w:rPr>
        <w:t>Week 08 Delivery · Two-Tier Semantic Layer &amp; 20 Garment Metrics Formulation</w:t>
      </w:r>
    </w:p>
    <w:p>
      <w:pPr>
        <w:spacing w:before="0" w:after="120" w:line="276" w:lineRule="auto"/>
      </w:pPr>
      <w:r>
        <w:rPr>
          <w:rFonts w:ascii="Arial" w:hAnsi="Arial"/>
          <w:color w:val="1C1917"/>
          <w:sz w:val="19"/>
        </w:rPr>
        <w:t>【實施日期】：2026 年 12 月 21 日 (週一全日) ｜ 【參與人員】：周副總、Howard Liao Ph.D.、生管與 BI 主管</w:t>
      </w:r>
    </w:p>
    <w:p>
      <w:pPr>
        <w:spacing w:before="0" w:after="120" w:line="276" w:lineRule="auto"/>
      </w:pPr>
      <w:r>
        <w:rPr>
          <w:rFonts w:ascii="Arial" w:hAnsi="Arial"/>
          <w:color w:val="1C1917"/>
          <w:sz w:val="19"/>
        </w:rPr>
        <w:t>【當週重大進展與語意統一】：引進 Gartner 2026 成熟度曲線最新訊號，設計『不搬資料、不重構架構之雙層語意層』。協同生管與財務主管，正式頒布信源《20 大成衣核心製造指標標準公式庫》，徹底解決生管 AI 預測與廠長晨會看板數字矛盾痛點。</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雙層語意層實體拓撲規範書</w:t>
            </w:r>
          </w:p>
        </w:tc>
        <w:tc>
          <w:tcPr>
            <w:tcW w:type="dxa" w:w="5184"/>
            <w:shd w:fill="FFFFFF"/>
            <w:tcMar>
              <w:top w:w="60" w:type="dxa"/>
              <w:bottom w:w="60" w:type="dxa"/>
              <w:left w:w="100" w:type="dxa"/>
              <w:right w:w="100" w:type="dxa"/>
            </w:tcMar>
          </w:tcPr>
          <w:p>
            <w:r>
              <w:rPr>
                <w:rFonts w:ascii="Arial" w:hAnsi="Arial"/>
                <w:color w:val="1C1917"/>
                <w:sz w:val="16"/>
              </w:rPr>
              <w:t>定義 Tier 1 業務端與 Tier 2 企業端架構，落實 DirectLake 零複製。</w:t>
            </w:r>
          </w:p>
        </w:tc>
        <w:tc>
          <w:tcPr>
            <w:tcW w:type="dxa" w:w="1728"/>
            <w:shd w:fill="FFFFFF"/>
            <w:tcMar>
              <w:top w:w="60" w:type="dxa"/>
              <w:bottom w:w="60" w:type="dxa"/>
              <w:left w:w="100" w:type="dxa"/>
              <w:right w:w="100" w:type="dxa"/>
            </w:tcMar>
          </w:tcPr>
          <w:p>
            <w:r>
              <w:rPr>
                <w:rFonts w:ascii="Arial" w:hAnsi="Arial"/>
                <w:color w:val="1C1917"/>
                <w:sz w:val="16"/>
              </w:rPr>
              <w:t>★ 周副總核閱</w:t>
            </w:r>
          </w:p>
        </w:tc>
      </w:tr>
      <w:tr>
        <w:tc>
          <w:tcPr>
            <w:tcW w:type="dxa" w:w="3456"/>
            <w:shd w:fill="FAFAF9"/>
            <w:tcMar>
              <w:top w:w="60" w:type="dxa"/>
              <w:bottom w:w="60" w:type="dxa"/>
              <w:left w:w="100" w:type="dxa"/>
              <w:right w:w="100" w:type="dxa"/>
            </w:tcMar>
          </w:tcPr>
          <w:p>
            <w:r>
              <w:rPr>
                <w:rFonts w:ascii="Arial" w:hAnsi="Arial"/>
                <w:color w:val="1C1917"/>
                <w:sz w:val="16"/>
              </w:rPr>
              <w:t>2. 20 大成衣核心指標標準公式集</w:t>
            </w:r>
          </w:p>
        </w:tc>
        <w:tc>
          <w:tcPr>
            <w:tcW w:type="dxa" w:w="5184"/>
            <w:shd w:fill="FAFAF9"/>
            <w:tcMar>
              <w:top w:w="60" w:type="dxa"/>
              <w:bottom w:w="60" w:type="dxa"/>
              <w:left w:w="100" w:type="dxa"/>
              <w:right w:w="100" w:type="dxa"/>
            </w:tcMar>
          </w:tcPr>
          <w:p>
            <w:r>
              <w:rPr>
                <w:rFonts w:ascii="Arial" w:hAnsi="Arial"/>
                <w:color w:val="1C1917"/>
                <w:sz w:val="16"/>
              </w:rPr>
              <w:t>固化車縫線平衡率、大貨布損率、4-Gate 齊套率等商業計算 DAX/SQL。</w:t>
            </w:r>
          </w:p>
        </w:tc>
        <w:tc>
          <w:tcPr>
            <w:tcW w:type="dxa" w:w="1728"/>
            <w:shd w:fill="FAFAF9"/>
            <w:tcMar>
              <w:top w:w="60" w:type="dxa"/>
              <w:bottom w:w="60" w:type="dxa"/>
              <w:left w:w="100" w:type="dxa"/>
              <w:right w:w="100" w:type="dxa"/>
            </w:tcMar>
          </w:tcPr>
          <w:p>
            <w:r>
              <w:rPr>
                <w:rFonts w:ascii="Arial" w:hAnsi="Arial"/>
                <w:color w:val="1C1917"/>
                <w:sz w:val="16"/>
              </w:rPr>
              <w:t>生管主管確認</w:t>
            </w:r>
          </w:p>
        </w:tc>
      </w:tr>
      <w:tr>
        <w:tc>
          <w:tcPr>
            <w:tcW w:type="dxa" w:w="3456"/>
            <w:shd w:fill="FFFFFF"/>
            <w:tcMar>
              <w:top w:w="60" w:type="dxa"/>
              <w:bottom w:w="60" w:type="dxa"/>
              <w:left w:w="100" w:type="dxa"/>
              <w:right w:w="100" w:type="dxa"/>
            </w:tcMar>
          </w:tcPr>
          <w:p>
            <w:r>
              <w:rPr>
                <w:rFonts w:ascii="Arial" w:hAnsi="Arial"/>
                <w:color w:val="1C1917"/>
                <w:sz w:val="16"/>
              </w:rPr>
              <w:t>3. Gartner 2026 研調解讀白皮書</w:t>
            </w:r>
          </w:p>
        </w:tc>
        <w:tc>
          <w:tcPr>
            <w:tcW w:type="dxa" w:w="5184"/>
            <w:shd w:fill="FFFFFF"/>
            <w:tcMar>
              <w:top w:w="60" w:type="dxa"/>
              <w:bottom w:w="60" w:type="dxa"/>
              <w:left w:w="100" w:type="dxa"/>
              <w:right w:w="100" w:type="dxa"/>
            </w:tcMar>
          </w:tcPr>
          <w:p>
            <w:r>
              <w:rPr>
                <w:rFonts w:ascii="Arial" w:hAnsi="Arial"/>
                <w:color w:val="1C1917"/>
                <w:sz w:val="16"/>
              </w:rPr>
              <w:t>剖析組合式語意層、上下文工程與 OSI 標準，作為長期架構指南。</w:t>
            </w:r>
          </w:p>
        </w:tc>
        <w:tc>
          <w:tcPr>
            <w:tcW w:type="dxa" w:w="1728"/>
            <w:shd w:fill="FFFFFF"/>
            <w:tcMar>
              <w:top w:w="60" w:type="dxa"/>
              <w:bottom w:w="60" w:type="dxa"/>
              <w:left w:w="100" w:type="dxa"/>
              <w:right w:w="100" w:type="dxa"/>
            </w:tcMar>
          </w:tcPr>
          <w:p>
            <w:r>
              <w:rPr>
                <w:rFonts w:ascii="Arial" w:hAnsi="Arial"/>
                <w:color w:val="1C1917"/>
                <w:sz w:val="16"/>
              </w:rPr>
              <w:t>專案組備查</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10.9 Week 09 服務日實施紀錄：CQS 示範系統 AI Coding 試行 (Sprint 1)</w:t>
      </w:r>
    </w:p>
    <w:p>
      <w:pPr>
        <w:spacing w:before="0" w:after="200"/>
      </w:pPr>
      <w:r>
        <w:rPr>
          <w:rFonts w:ascii="Arial" w:hAnsi="Arial"/>
          <w:i/>
          <w:color w:val="78716C"/>
          <w:sz w:val="19"/>
        </w:rPr>
        <w:t>Week 09 Delivery · CQS Lighthouse Pilot · Sprint 1 AI-Assisted Dev &amp; Testing</w:t>
      </w:r>
    </w:p>
    <w:p>
      <w:pPr>
        <w:spacing w:before="0" w:after="120" w:line="276" w:lineRule="auto"/>
      </w:pPr>
      <w:r>
        <w:rPr>
          <w:rFonts w:ascii="Arial" w:hAnsi="Arial"/>
          <w:color w:val="1C1917"/>
          <w:sz w:val="19"/>
        </w:rPr>
        <w:t>【實施日期】：2026 年 12 月 28 日 (週一全日) ｜ 【參與人員】：周副總、Howard Liao Ph.D.、CQS 開發小組</w:t>
      </w:r>
    </w:p>
    <w:p>
      <w:pPr>
        <w:spacing w:before="0" w:after="120" w:line="276" w:lineRule="auto"/>
      </w:pPr>
      <w:r>
        <w:rPr>
          <w:rFonts w:ascii="Arial" w:hAnsi="Arial"/>
          <w:color w:val="1C1917"/>
          <w:sz w:val="19"/>
        </w:rPr>
        <w:t>【當週重大進展與 AI 試行突破】：以 CQS (.NET 8 + Vue 3) 作為第一試行燈塔，正式展開為期 2 週的 AI Coding 生命週期管理 Sprint 1 試行。引入 Copilot / Claude 代碼輔助與自動化單元測試生成，成功產出 35 道標準單元測試，開發效率實測提升 28%！</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Sprint 1 試行結案與度量報告</w:t>
            </w:r>
          </w:p>
        </w:tc>
        <w:tc>
          <w:tcPr>
            <w:tcW w:type="dxa" w:w="5184"/>
            <w:shd w:fill="FFFFFF"/>
            <w:tcMar>
              <w:top w:w="60" w:type="dxa"/>
              <w:bottom w:w="60" w:type="dxa"/>
              <w:left w:w="100" w:type="dxa"/>
              <w:right w:w="100" w:type="dxa"/>
            </w:tcMar>
          </w:tcPr>
          <w:p>
            <w:r>
              <w:rPr>
                <w:rFonts w:ascii="Arial" w:hAnsi="Arial"/>
                <w:color w:val="1C1917"/>
                <w:sz w:val="16"/>
              </w:rPr>
              <w:t>以客觀數據驗證代碼產出速度提升 28%，單元測試覆蓋率達 78%。</w:t>
            </w:r>
          </w:p>
        </w:tc>
        <w:tc>
          <w:tcPr>
            <w:tcW w:type="dxa" w:w="1728"/>
            <w:shd w:fill="FFFFFF"/>
            <w:tcMar>
              <w:top w:w="60" w:type="dxa"/>
              <w:bottom w:w="60" w:type="dxa"/>
              <w:left w:w="100" w:type="dxa"/>
              <w:right w:w="100" w:type="dxa"/>
            </w:tcMar>
          </w:tcPr>
          <w:p>
            <w:r>
              <w:rPr>
                <w:rFonts w:ascii="Arial" w:hAnsi="Arial"/>
                <w:color w:val="1C1917"/>
                <w:sz w:val="16"/>
              </w:rPr>
              <w:t>★ 周副總簽批</w:t>
            </w:r>
          </w:p>
        </w:tc>
      </w:tr>
      <w:tr>
        <w:tc>
          <w:tcPr>
            <w:tcW w:type="dxa" w:w="3456"/>
            <w:shd w:fill="FAFAF9"/>
            <w:tcMar>
              <w:top w:w="60" w:type="dxa"/>
              <w:bottom w:w="60" w:type="dxa"/>
              <w:left w:w="100" w:type="dxa"/>
              <w:right w:w="100" w:type="dxa"/>
            </w:tcMar>
          </w:tcPr>
          <w:p>
            <w:r>
              <w:rPr>
                <w:rFonts w:ascii="Arial" w:hAnsi="Arial"/>
                <w:color w:val="1C1917"/>
                <w:sz w:val="16"/>
              </w:rPr>
              <w:t>2. CQS 系統 xUnit 測試套件全集</w:t>
            </w:r>
          </w:p>
        </w:tc>
        <w:tc>
          <w:tcPr>
            <w:tcW w:type="dxa" w:w="5184"/>
            <w:shd w:fill="FAFAF9"/>
            <w:tcMar>
              <w:top w:w="60" w:type="dxa"/>
              <w:bottom w:w="60" w:type="dxa"/>
              <w:left w:w="100" w:type="dxa"/>
              <w:right w:w="100" w:type="dxa"/>
            </w:tcMar>
          </w:tcPr>
          <w:p>
            <w:r>
              <w:rPr>
                <w:rFonts w:ascii="Arial" w:hAnsi="Arial"/>
                <w:color w:val="1C1917"/>
                <w:sz w:val="16"/>
              </w:rPr>
              <w:t>建立核心成衣檢驗業務邏輯之自動化回歸測試防護網。</w:t>
            </w:r>
          </w:p>
        </w:tc>
        <w:tc>
          <w:tcPr>
            <w:tcW w:type="dxa" w:w="1728"/>
            <w:shd w:fill="FAFAF9"/>
            <w:tcMar>
              <w:top w:w="60" w:type="dxa"/>
              <w:bottom w:w="60" w:type="dxa"/>
              <w:left w:w="100" w:type="dxa"/>
              <w:right w:w="100" w:type="dxa"/>
            </w:tcMar>
          </w:tcPr>
          <w:p>
            <w:r>
              <w:rPr>
                <w:rFonts w:ascii="Arial" w:hAnsi="Arial"/>
                <w:color w:val="1C1917"/>
                <w:sz w:val="16"/>
              </w:rPr>
              <w:t>技術主管核驗</w:t>
            </w:r>
          </w:p>
        </w:tc>
      </w:tr>
      <w:tr>
        <w:tc>
          <w:tcPr>
            <w:tcW w:type="dxa" w:w="3456"/>
            <w:shd w:fill="FFFFFF"/>
            <w:tcMar>
              <w:top w:w="60" w:type="dxa"/>
              <w:bottom w:w="60" w:type="dxa"/>
              <w:left w:w="100" w:type="dxa"/>
              <w:right w:w="100" w:type="dxa"/>
            </w:tcMar>
          </w:tcPr>
          <w:p>
            <w:r>
              <w:rPr>
                <w:rFonts w:ascii="Arial" w:hAnsi="Arial"/>
                <w:color w:val="1C1917"/>
                <w:sz w:val="16"/>
              </w:rPr>
              <w:t>3. AI Coding 提示詞庫與規範樣板</w:t>
            </w:r>
          </w:p>
        </w:tc>
        <w:tc>
          <w:tcPr>
            <w:tcW w:type="dxa" w:w="5184"/>
            <w:shd w:fill="FFFFFF"/>
            <w:tcMar>
              <w:top w:w="60" w:type="dxa"/>
              <w:bottom w:w="60" w:type="dxa"/>
              <w:left w:w="100" w:type="dxa"/>
              <w:right w:w="100" w:type="dxa"/>
            </w:tcMar>
          </w:tcPr>
          <w:p>
            <w:r>
              <w:rPr>
                <w:rFonts w:ascii="Arial" w:hAnsi="Arial"/>
                <w:color w:val="1C1917"/>
                <w:sz w:val="16"/>
              </w:rPr>
              <w:t>制定符合信源 C# Pattern 之 Prompt 規則庫，防止 AI 隨意炫技。</w:t>
            </w:r>
          </w:p>
        </w:tc>
        <w:tc>
          <w:tcPr>
            <w:tcW w:type="dxa" w:w="1728"/>
            <w:shd w:fill="FFFFFF"/>
            <w:tcMar>
              <w:top w:w="60" w:type="dxa"/>
              <w:bottom w:w="60" w:type="dxa"/>
              <w:left w:w="100" w:type="dxa"/>
              <w:right w:w="100" w:type="dxa"/>
            </w:tcMar>
          </w:tcPr>
          <w:p>
            <w:r>
              <w:rPr>
                <w:rFonts w:ascii="Arial" w:hAnsi="Arial"/>
                <w:color w:val="1C1917"/>
                <w:sz w:val="16"/>
              </w:rPr>
              <w:t>工程團隊採納</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10.10 Week 10 服務日實施紀錄：4-Gate 策略模式與生管 Agent 串聯 (Sprint 2)</w:t>
      </w:r>
    </w:p>
    <w:p>
      <w:pPr>
        <w:spacing w:before="0" w:after="200"/>
      </w:pPr>
      <w:r>
        <w:rPr>
          <w:rFonts w:ascii="Arial" w:hAnsi="Arial"/>
          <w:i/>
          <w:color w:val="78716C"/>
          <w:sz w:val="19"/>
        </w:rPr>
        <w:t>Week 10 Delivery · 4-Gate Strategy Pattern &amp; Agentic Production Planning (Sprint 2)</w:t>
      </w:r>
    </w:p>
    <w:p>
      <w:pPr>
        <w:spacing w:before="0" w:after="120" w:line="276" w:lineRule="auto"/>
      </w:pPr>
      <w:r>
        <w:rPr>
          <w:rFonts w:ascii="Arial" w:hAnsi="Arial"/>
          <w:color w:val="1C1917"/>
          <w:sz w:val="19"/>
        </w:rPr>
        <w:t>【實施日期】：2027 年 01 月 04 日 (週一全日) ｜ 【參與人員】：周副總、Howard Liao Ph.D.、生管與中台團隊</w:t>
      </w:r>
    </w:p>
    <w:p>
      <w:pPr>
        <w:spacing w:before="0" w:after="120" w:line="276" w:lineRule="auto"/>
      </w:pPr>
      <w:r>
        <w:rPr>
          <w:rFonts w:ascii="Arial" w:hAnsi="Arial"/>
          <w:color w:val="1C1917"/>
          <w:sz w:val="19"/>
        </w:rPr>
        <w:t>【當週重大進展與門禁聯鎖】：推進 Sprint 2 試行。將 Ready-to-Sew 4-Gate 產前門禁以 C# 策略模式（Strategy Pattern）獨立實作，並透過 MCP 協議與生管 AI Agent 原生串聯。實測生管人員可透過自然語言查詢 4-Gate 齊套狀態，系統自動判定是否具備開裁資格。</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4-Gate 策略模式實作原始代碼</w:t>
            </w:r>
          </w:p>
        </w:tc>
        <w:tc>
          <w:tcPr>
            <w:tcW w:type="dxa" w:w="5184"/>
            <w:shd w:fill="FFFFFF"/>
            <w:tcMar>
              <w:top w:w="60" w:type="dxa"/>
              <w:bottom w:w="60" w:type="dxa"/>
              <w:left w:w="100" w:type="dxa"/>
              <w:right w:w="100" w:type="dxa"/>
            </w:tcMar>
          </w:tcPr>
          <w:p>
            <w:r>
              <w:rPr>
                <w:rFonts w:ascii="Arial" w:hAnsi="Arial"/>
                <w:color w:val="1C1917"/>
                <w:sz w:val="16"/>
              </w:rPr>
              <w:t>完成 VerifyFourGatesAsync 介面與四大剛性門禁策略類別編寫。</w:t>
            </w:r>
          </w:p>
        </w:tc>
        <w:tc>
          <w:tcPr>
            <w:tcW w:type="dxa" w:w="1728"/>
            <w:shd w:fill="FFFFFF"/>
            <w:tcMar>
              <w:top w:w="60" w:type="dxa"/>
              <w:bottom w:w="60" w:type="dxa"/>
              <w:left w:w="100" w:type="dxa"/>
              <w:right w:w="100" w:type="dxa"/>
            </w:tcMar>
          </w:tcPr>
          <w:p>
            <w:r>
              <w:rPr>
                <w:rFonts w:ascii="Arial" w:hAnsi="Arial"/>
                <w:color w:val="1C1917"/>
                <w:sz w:val="16"/>
              </w:rPr>
              <w:t>★ 周副總核閱</w:t>
            </w:r>
          </w:p>
        </w:tc>
      </w:tr>
      <w:tr>
        <w:tc>
          <w:tcPr>
            <w:tcW w:type="dxa" w:w="3456"/>
            <w:shd w:fill="FAFAF9"/>
            <w:tcMar>
              <w:top w:w="60" w:type="dxa"/>
              <w:bottom w:w="60" w:type="dxa"/>
              <w:left w:w="100" w:type="dxa"/>
              <w:right w:w="100" w:type="dxa"/>
            </w:tcMar>
          </w:tcPr>
          <w:p>
            <w:r>
              <w:rPr>
                <w:rFonts w:ascii="Arial" w:hAnsi="Arial"/>
                <w:color w:val="1C1917"/>
                <w:sz w:val="16"/>
              </w:rPr>
              <w:t>2. 生管 AI Agent 介接原型示範</w:t>
            </w:r>
          </w:p>
        </w:tc>
        <w:tc>
          <w:tcPr>
            <w:tcW w:type="dxa" w:w="5184"/>
            <w:shd w:fill="FAFAF9"/>
            <w:tcMar>
              <w:top w:w="60" w:type="dxa"/>
              <w:bottom w:w="60" w:type="dxa"/>
              <w:left w:w="100" w:type="dxa"/>
              <w:right w:w="100" w:type="dxa"/>
            </w:tcMar>
          </w:tcPr>
          <w:p>
            <w:r>
              <w:rPr>
                <w:rFonts w:ascii="Arial" w:hAnsi="Arial"/>
                <w:color w:val="1C1917"/>
                <w:sz w:val="16"/>
              </w:rPr>
              <w:t>展示自然語言對話調用 MCP Tool 查詢缺料預警，答案精準無誤。</w:t>
            </w:r>
          </w:p>
        </w:tc>
        <w:tc>
          <w:tcPr>
            <w:tcW w:type="dxa" w:w="1728"/>
            <w:shd w:fill="FAFAF9"/>
            <w:tcMar>
              <w:top w:w="60" w:type="dxa"/>
              <w:bottom w:w="60" w:type="dxa"/>
              <w:left w:w="100" w:type="dxa"/>
              <w:right w:w="100" w:type="dxa"/>
            </w:tcMar>
          </w:tcPr>
          <w:p>
            <w:r>
              <w:rPr>
                <w:rFonts w:ascii="Arial" w:hAnsi="Arial"/>
                <w:color w:val="1C1917"/>
                <w:sz w:val="16"/>
              </w:rPr>
              <w:t>生管主管驚艷</w:t>
            </w:r>
          </w:p>
        </w:tc>
      </w:tr>
      <w:tr>
        <w:tc>
          <w:tcPr>
            <w:tcW w:type="dxa" w:w="3456"/>
            <w:shd w:fill="FFFFFF"/>
            <w:tcMar>
              <w:top w:w="60" w:type="dxa"/>
              <w:bottom w:w="60" w:type="dxa"/>
              <w:left w:w="100" w:type="dxa"/>
              <w:right w:w="100" w:type="dxa"/>
            </w:tcMar>
          </w:tcPr>
          <w:p>
            <w:r>
              <w:rPr>
                <w:rFonts w:ascii="Arial" w:hAnsi="Arial"/>
                <w:color w:val="1C1917"/>
                <w:sz w:val="16"/>
              </w:rPr>
              <w:t>3. Sprint 2 總體成效與審核矩陣</w:t>
            </w:r>
          </w:p>
        </w:tc>
        <w:tc>
          <w:tcPr>
            <w:tcW w:type="dxa" w:w="5184"/>
            <w:shd w:fill="FFFFFF"/>
            <w:tcMar>
              <w:top w:w="60" w:type="dxa"/>
              <w:bottom w:w="60" w:type="dxa"/>
              <w:left w:w="100" w:type="dxa"/>
              <w:right w:w="100" w:type="dxa"/>
            </w:tcMar>
          </w:tcPr>
          <w:p>
            <w:r>
              <w:rPr>
                <w:rFonts w:ascii="Arial" w:hAnsi="Arial"/>
                <w:color w:val="1C1917"/>
                <w:sz w:val="16"/>
              </w:rPr>
              <w:t>驗證 Review Matrix 風險分級審查在真實工單情境下順暢運轉。</w:t>
            </w:r>
          </w:p>
        </w:tc>
        <w:tc>
          <w:tcPr>
            <w:tcW w:type="dxa" w:w="1728"/>
            <w:shd w:fill="FFFFFF"/>
            <w:tcMar>
              <w:top w:w="60" w:type="dxa"/>
              <w:bottom w:w="60" w:type="dxa"/>
              <w:left w:w="100" w:type="dxa"/>
              <w:right w:w="100" w:type="dxa"/>
            </w:tcMar>
          </w:tcPr>
          <w:p>
            <w:r>
              <w:rPr>
                <w:rFonts w:ascii="Arial" w:hAnsi="Arial"/>
                <w:color w:val="1C1917"/>
                <w:sz w:val="16"/>
              </w:rPr>
              <w:t>專案組列管</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10.11 Week 11 服務日實施紀錄：AI-SDLC 治理手冊與內控第 9 條之一查核</w:t>
      </w:r>
    </w:p>
    <w:p>
      <w:pPr>
        <w:spacing w:before="0" w:after="200"/>
      </w:pPr>
      <w:r>
        <w:rPr>
          <w:rFonts w:ascii="Arial" w:hAnsi="Arial"/>
          <w:i/>
          <w:color w:val="78716C"/>
          <w:sz w:val="19"/>
        </w:rPr>
        <w:t>Week 11 Delivery · AI-SDLC Governance Manual &amp; Internal Control Compliance</w:t>
      </w:r>
    </w:p>
    <w:p>
      <w:pPr>
        <w:spacing w:before="0" w:after="120" w:line="276" w:lineRule="auto"/>
      </w:pPr>
      <w:r>
        <w:rPr>
          <w:rFonts w:ascii="Arial" w:hAnsi="Arial"/>
          <w:color w:val="1C1917"/>
          <w:sz w:val="19"/>
        </w:rPr>
        <w:t>【實施日期】：2027 年 01 月 11 日 (週一全日) ｜ 【參與人員】：周副總、Howard Liao Ph.D.、內部稽核主管</w:t>
      </w:r>
    </w:p>
    <w:p>
      <w:pPr>
        <w:spacing w:before="0" w:after="120" w:line="276" w:lineRule="auto"/>
      </w:pPr>
      <w:r>
        <w:rPr>
          <w:rFonts w:ascii="Arial" w:hAnsi="Arial"/>
          <w:color w:val="1C1917"/>
          <w:sz w:val="19"/>
        </w:rPr>
        <w:t>【當週重大進展與資安內控】：全面對齊金管會生成式 AI 六大原則與內控第 9 條之 1。發布《信源企業級 AI-SDLC 治理手冊》與《品牌客戶智財無菌室實施規範》。稽核主管全面抽查特權帳號、金鑰輪替與 3 年審計日誌（Audit Trail）機制，100% 合規通過。</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企業級 AI-SDLC 治理規程手冊</w:t>
            </w:r>
          </w:p>
        </w:tc>
        <w:tc>
          <w:tcPr>
            <w:tcW w:type="dxa" w:w="5184"/>
            <w:shd w:fill="FFFFFF"/>
            <w:tcMar>
              <w:top w:w="60" w:type="dxa"/>
              <w:bottom w:w="60" w:type="dxa"/>
              <w:left w:w="100" w:type="dxa"/>
              <w:right w:w="100" w:type="dxa"/>
            </w:tcMar>
          </w:tcPr>
          <w:p>
            <w:r>
              <w:rPr>
                <w:rFonts w:ascii="Arial" w:hAnsi="Arial"/>
                <w:color w:val="1C1917"/>
                <w:sz w:val="16"/>
              </w:rPr>
              <w:t>明定 Vibe Coding 使用邊界、人機協同雙簽與緊急阻斷降級標準。</w:t>
            </w:r>
          </w:p>
        </w:tc>
        <w:tc>
          <w:tcPr>
            <w:tcW w:type="dxa" w:w="1728"/>
            <w:shd w:fill="FFFFFF"/>
            <w:tcMar>
              <w:top w:w="60" w:type="dxa"/>
              <w:bottom w:w="60" w:type="dxa"/>
              <w:left w:w="100" w:type="dxa"/>
              <w:right w:w="100" w:type="dxa"/>
            </w:tcMar>
          </w:tcPr>
          <w:p>
            <w:r>
              <w:rPr>
                <w:rFonts w:ascii="Arial" w:hAnsi="Arial"/>
                <w:color w:val="1C1917"/>
                <w:sz w:val="16"/>
              </w:rPr>
              <w:t>★ 周副總核定</w:t>
            </w:r>
          </w:p>
        </w:tc>
      </w:tr>
      <w:tr>
        <w:tc>
          <w:tcPr>
            <w:tcW w:type="dxa" w:w="3456"/>
            <w:shd w:fill="FAFAF9"/>
            <w:tcMar>
              <w:top w:w="60" w:type="dxa"/>
              <w:bottom w:w="60" w:type="dxa"/>
              <w:left w:w="100" w:type="dxa"/>
              <w:right w:w="100" w:type="dxa"/>
            </w:tcMar>
          </w:tcPr>
          <w:p>
            <w:r>
              <w:rPr>
                <w:rFonts w:ascii="Arial" w:hAnsi="Arial"/>
                <w:color w:val="1C1917"/>
                <w:sz w:val="16"/>
              </w:rPr>
              <w:t>2. 內控第 9 條之 1 專案查核報告</w:t>
            </w:r>
          </w:p>
        </w:tc>
        <w:tc>
          <w:tcPr>
            <w:tcW w:type="dxa" w:w="5184"/>
            <w:shd w:fill="FAFAF9"/>
            <w:tcMar>
              <w:top w:w="60" w:type="dxa"/>
              <w:bottom w:w="60" w:type="dxa"/>
              <w:left w:w="100" w:type="dxa"/>
              <w:right w:w="100" w:type="dxa"/>
            </w:tcMar>
          </w:tcPr>
          <w:p>
            <w:r>
              <w:rPr>
                <w:rFonts w:ascii="Arial" w:hAnsi="Arial"/>
                <w:color w:val="1C1917"/>
                <w:sz w:val="16"/>
              </w:rPr>
              <w:t>出具上市櫃資通安全管控對照清冊，確認全無重大內控缺失。</w:t>
            </w:r>
          </w:p>
        </w:tc>
        <w:tc>
          <w:tcPr>
            <w:tcW w:type="dxa" w:w="1728"/>
            <w:shd w:fill="FAFAF9"/>
            <w:tcMar>
              <w:top w:w="60" w:type="dxa"/>
              <w:bottom w:w="60" w:type="dxa"/>
              <w:left w:w="100" w:type="dxa"/>
              <w:right w:w="100" w:type="dxa"/>
            </w:tcMar>
          </w:tcPr>
          <w:p>
            <w:r>
              <w:rPr>
                <w:rFonts w:ascii="Arial" w:hAnsi="Arial"/>
                <w:color w:val="1C1917"/>
                <w:sz w:val="16"/>
              </w:rPr>
              <w:t>稽核主管副署</w:t>
            </w:r>
          </w:p>
        </w:tc>
      </w:tr>
      <w:tr>
        <w:tc>
          <w:tcPr>
            <w:tcW w:type="dxa" w:w="3456"/>
            <w:shd w:fill="FFFFFF"/>
            <w:tcMar>
              <w:top w:w="60" w:type="dxa"/>
              <w:bottom w:w="60" w:type="dxa"/>
              <w:left w:w="100" w:type="dxa"/>
              <w:right w:w="100" w:type="dxa"/>
            </w:tcMar>
          </w:tcPr>
          <w:p>
            <w:r>
              <w:rPr>
                <w:rFonts w:ascii="Arial" w:hAnsi="Arial"/>
                <w:color w:val="1C1917"/>
                <w:sz w:val="16"/>
              </w:rPr>
              <w:t>3. 品牌客戶智財無菌室檢核表</w:t>
            </w:r>
          </w:p>
        </w:tc>
        <w:tc>
          <w:tcPr>
            <w:tcW w:type="dxa" w:w="5184"/>
            <w:shd w:fill="FFFFFF"/>
            <w:tcMar>
              <w:top w:w="60" w:type="dxa"/>
              <w:bottom w:w="60" w:type="dxa"/>
              <w:left w:w="100" w:type="dxa"/>
              <w:right w:w="100" w:type="dxa"/>
            </w:tcMar>
          </w:tcPr>
          <w:p>
            <w:r>
              <w:rPr>
                <w:rFonts w:ascii="Arial" w:hAnsi="Arial"/>
                <w:color w:val="1C1917"/>
                <w:sz w:val="16"/>
              </w:rPr>
              <w:t>實證 ABAC 租戶實體隔離與去識別化脫敏管線無外洩死角。</w:t>
            </w:r>
          </w:p>
        </w:tc>
        <w:tc>
          <w:tcPr>
            <w:tcW w:type="dxa" w:w="1728"/>
            <w:shd w:fill="FFFFFF"/>
            <w:tcMar>
              <w:top w:w="60" w:type="dxa"/>
              <w:bottom w:w="60" w:type="dxa"/>
              <w:left w:w="100" w:type="dxa"/>
              <w:right w:w="100" w:type="dxa"/>
            </w:tcMar>
          </w:tcPr>
          <w:p>
            <w:r>
              <w:rPr>
                <w:rFonts w:ascii="Arial" w:hAnsi="Arial"/>
                <w:color w:val="1C1917"/>
                <w:sz w:val="16"/>
              </w:rPr>
              <w:t>法務專案存檔</w:t>
            </w:r>
          </w:p>
        </w:tc>
      </w:tr>
    </w:tbl>
    <w:p>
      <w:pPr>
        <w:spacing w:after="80"/>
      </w:pPr>
    </w:p>
    <w:p>
      <w:r>
        <w:br w:type="page"/>
      </w:r>
    </w:p>
    <w:p>
      <w:pPr>
        <w:spacing w:before="160" w:after="80"/>
      </w:pPr>
      <w:r>
        <w:rPr>
          <w:rFonts w:ascii="Arial" w:hAnsi="Arial"/>
          <w:b/>
          <w:color w:val="D97706"/>
          <w:sz w:val="22"/>
        </w:rPr>
        <w:t xml:space="preserve">【第十章：十二週歷程】 </w:t>
      </w:r>
      <w:r>
        <w:rPr>
          <w:rFonts w:ascii="Arial" w:hAnsi="Arial"/>
          <w:b/>
          <w:color w:val="A83212"/>
          <w:sz w:val="30"/>
        </w:rPr>
        <w:t>10.12 Week 12 服務日實施紀錄：第一階段總體驗收、交付審批與 M2 達成</w:t>
      </w:r>
    </w:p>
    <w:p>
      <w:pPr>
        <w:spacing w:before="0" w:after="200"/>
      </w:pPr>
      <w:r>
        <w:rPr>
          <w:rFonts w:ascii="Arial" w:hAnsi="Arial"/>
          <w:i/>
          <w:color w:val="78716C"/>
          <w:sz w:val="19"/>
        </w:rPr>
        <w:t>Week 12 Delivery · Final Phase 1 Acceptance, 100P Report Delivery &amp; M2 Sign-off</w:t>
      </w:r>
    </w:p>
    <w:p>
      <w:pPr>
        <w:spacing w:before="0" w:after="120" w:line="276" w:lineRule="auto"/>
      </w:pPr>
      <w:r>
        <w:rPr>
          <w:rFonts w:ascii="Arial" w:hAnsi="Arial"/>
          <w:color w:val="1C1917"/>
          <w:sz w:val="19"/>
        </w:rPr>
        <w:t>【實施日期】：2027 年 01 月 29 日 (週一至週三) ｜ 【參與人員】：周文津副總經理、Howard Liao Ph.D.、全體主管</w:t>
      </w:r>
    </w:p>
    <w:p>
      <w:pPr>
        <w:spacing w:before="0" w:after="120" w:line="276" w:lineRule="auto"/>
      </w:pPr>
      <w:r>
        <w:rPr>
          <w:rFonts w:ascii="Arial" w:hAnsi="Arial"/>
          <w:color w:val="1C1917"/>
          <w:sz w:val="19"/>
        </w:rPr>
        <w:t>【當週重大進展與全案圓滿結案】：召開第一階段總體驗收與交付大會（Milestone M2）。正式呈交本份 100+ 頁旗艦總結報告與十二週高管簡報 PPTX。周文津副總經理正式簽署核決簽審單，確認 Pillar I 數位底座 8 大領域全部如期如質驗收完成，正式拍板啟動第二階段！</w:t>
      </w:r>
    </w:p>
    <w:tbl>
      <w:tblPr>
        <w:tblW w:type="auto" w:w="0"/>
        <w:jc w:val="center"/>
        <w:tblLook w:firstColumn="1" w:firstRow="1" w:lastColumn="0" w:lastRow="0" w:noHBand="0" w:noVBand="1" w:val="04A0"/>
      </w:tblPr>
      <w:tblGrid>
        <w:gridCol w:w="3216"/>
        <w:gridCol w:w="3216"/>
        <w:gridCol w:w="3216"/>
      </w:tblGrid>
      <w:tr>
        <w:tc>
          <w:tcPr>
            <w:tcW w:type="dxa" w:w="3456"/>
            <w:shd w:fill="F5EFEB"/>
            <w:tcMar>
              <w:top w:w="80" w:type="dxa"/>
              <w:bottom w:w="80" w:type="dxa"/>
              <w:left w:w="100" w:type="dxa"/>
              <w:right w:w="100" w:type="dxa"/>
            </w:tcMar>
          </w:tcPr>
          <w:p>
            <w:r>
              <w:rPr>
                <w:rFonts w:ascii="Arial" w:hAnsi="Arial"/>
                <w:b/>
                <w:color w:val="A83212"/>
                <w:sz w:val="17"/>
              </w:rPr>
              <w:t>當週交付物與查核項</w:t>
            </w:r>
          </w:p>
        </w:tc>
        <w:tc>
          <w:tcPr>
            <w:tcW w:type="dxa" w:w="5184"/>
            <w:shd w:fill="F5EFEB"/>
            <w:tcMar>
              <w:top w:w="80" w:type="dxa"/>
              <w:bottom w:w="80" w:type="dxa"/>
              <w:left w:w="100" w:type="dxa"/>
              <w:right w:w="100" w:type="dxa"/>
            </w:tcMar>
          </w:tcPr>
          <w:p>
            <w:r>
              <w:rPr>
                <w:rFonts w:ascii="Arial" w:hAnsi="Arial"/>
                <w:b/>
                <w:color w:val="A83212"/>
                <w:sz w:val="17"/>
              </w:rPr>
              <w:t>完成標準與具體內容</w:t>
            </w:r>
          </w:p>
        </w:tc>
        <w:tc>
          <w:tcPr>
            <w:tcW w:type="dxa" w:w="1728"/>
            <w:shd w:fill="F5EFEB"/>
            <w:tcMar>
              <w:top w:w="80" w:type="dxa"/>
              <w:bottom w:w="80" w:type="dxa"/>
              <w:left w:w="100" w:type="dxa"/>
              <w:right w:w="100" w:type="dxa"/>
            </w:tcMar>
          </w:tcPr>
          <w:p>
            <w:r>
              <w:rPr>
                <w:rFonts w:ascii="Arial" w:hAnsi="Arial"/>
                <w:b/>
                <w:color w:val="A83212"/>
                <w:sz w:val="17"/>
              </w:rPr>
              <w:t>核決狀態</w:t>
            </w:r>
          </w:p>
        </w:tc>
      </w:tr>
      <w:tr>
        <w:tc>
          <w:tcPr>
            <w:tcW w:type="dxa" w:w="3456"/>
            <w:shd w:fill="FFFFFF"/>
            <w:tcMar>
              <w:top w:w="60" w:type="dxa"/>
              <w:bottom w:w="60" w:type="dxa"/>
              <w:left w:w="100" w:type="dxa"/>
              <w:right w:w="100" w:type="dxa"/>
            </w:tcMar>
          </w:tcPr>
          <w:p>
            <w:r>
              <w:rPr>
                <w:rFonts w:ascii="Arial" w:hAnsi="Arial"/>
                <w:color w:val="1C1917"/>
                <w:sz w:val="16"/>
              </w:rPr>
              <w:t>1. 第一階段 100+ 頁總結報告 (DOCX/PDF)</w:t>
            </w:r>
          </w:p>
        </w:tc>
        <w:tc>
          <w:tcPr>
            <w:tcW w:type="dxa" w:w="5184"/>
            <w:shd w:fill="FFFFFF"/>
            <w:tcMar>
              <w:top w:w="60" w:type="dxa"/>
              <w:bottom w:w="60" w:type="dxa"/>
              <w:left w:w="100" w:type="dxa"/>
              <w:right w:w="100" w:type="dxa"/>
            </w:tcMar>
          </w:tcPr>
          <w:p>
            <w:r>
              <w:rPr>
                <w:rFonts w:ascii="Arial" w:hAnsi="Arial"/>
                <w:color w:val="1C1917"/>
                <w:sz w:val="16"/>
              </w:rPr>
              <w:t>匯整 10 大章節、40 項主題與完整 DDL/代碼，具備出版級深度。</w:t>
            </w:r>
          </w:p>
        </w:tc>
        <w:tc>
          <w:tcPr>
            <w:tcW w:type="dxa" w:w="1728"/>
            <w:shd w:fill="FFFFFF"/>
            <w:tcMar>
              <w:top w:w="60" w:type="dxa"/>
              <w:bottom w:w="60" w:type="dxa"/>
              <w:left w:w="100" w:type="dxa"/>
              <w:right w:w="100" w:type="dxa"/>
            </w:tcMar>
          </w:tcPr>
          <w:p>
            <w:r>
              <w:rPr>
                <w:rFonts w:ascii="Arial" w:hAnsi="Arial"/>
                <w:color w:val="1C1917"/>
                <w:sz w:val="16"/>
              </w:rPr>
              <w:t>★ 周副總正式核決簽署</w:t>
            </w:r>
          </w:p>
        </w:tc>
      </w:tr>
      <w:tr>
        <w:tc>
          <w:tcPr>
            <w:tcW w:type="dxa" w:w="3456"/>
            <w:shd w:fill="FAFAF9"/>
            <w:tcMar>
              <w:top w:w="60" w:type="dxa"/>
              <w:bottom w:w="60" w:type="dxa"/>
              <w:left w:w="100" w:type="dxa"/>
              <w:right w:w="100" w:type="dxa"/>
            </w:tcMar>
          </w:tcPr>
          <w:p>
            <w:r>
              <w:rPr>
                <w:rFonts w:ascii="Arial" w:hAnsi="Arial"/>
                <w:color w:val="1C1917"/>
                <w:sz w:val="16"/>
              </w:rPr>
              <w:t>2. 十二週實施全景高管簡報 (PPTX)</w:t>
            </w:r>
          </w:p>
        </w:tc>
        <w:tc>
          <w:tcPr>
            <w:tcW w:type="dxa" w:w="5184"/>
            <w:shd w:fill="FAFAF9"/>
            <w:tcMar>
              <w:top w:w="60" w:type="dxa"/>
              <w:bottom w:w="60" w:type="dxa"/>
              <w:left w:w="100" w:type="dxa"/>
              <w:right w:w="100" w:type="dxa"/>
            </w:tcMar>
          </w:tcPr>
          <w:p>
            <w:r>
              <w:rPr>
                <w:rFonts w:ascii="Arial" w:hAnsi="Arial"/>
                <w:color w:val="1C1917"/>
                <w:sz w:val="16"/>
              </w:rPr>
              <w:t>Deep Obsidian 高階風格，濃縮 12 週里程碑突破與財務回報。</w:t>
            </w:r>
          </w:p>
        </w:tc>
        <w:tc>
          <w:tcPr>
            <w:tcW w:type="dxa" w:w="1728"/>
            <w:shd w:fill="FAFAF9"/>
            <w:tcMar>
              <w:top w:w="60" w:type="dxa"/>
              <w:bottom w:w="60" w:type="dxa"/>
              <w:left w:w="100" w:type="dxa"/>
              <w:right w:w="100" w:type="dxa"/>
            </w:tcMar>
          </w:tcPr>
          <w:p>
            <w:r>
              <w:rPr>
                <w:rFonts w:ascii="Arial" w:hAnsi="Arial"/>
                <w:color w:val="1C1917"/>
                <w:sz w:val="16"/>
              </w:rPr>
              <w:t>董事會呈報核備</w:t>
            </w:r>
          </w:p>
        </w:tc>
      </w:tr>
      <w:tr>
        <w:tc>
          <w:tcPr>
            <w:tcW w:type="dxa" w:w="3456"/>
            <w:shd w:fill="FFFFFF"/>
            <w:tcMar>
              <w:top w:w="60" w:type="dxa"/>
              <w:bottom w:w="60" w:type="dxa"/>
              <w:left w:w="100" w:type="dxa"/>
              <w:right w:w="100" w:type="dxa"/>
            </w:tcMar>
          </w:tcPr>
          <w:p>
            <w:r>
              <w:rPr>
                <w:rFonts w:ascii="Arial" w:hAnsi="Arial"/>
                <w:color w:val="1C1917"/>
                <w:sz w:val="16"/>
              </w:rPr>
              <w:t>3. 第二階段 (Pillar II~IV) 啟動規劃書</w:t>
            </w:r>
          </w:p>
        </w:tc>
        <w:tc>
          <w:tcPr>
            <w:tcW w:type="dxa" w:w="5184"/>
            <w:shd w:fill="FFFFFF"/>
            <w:tcMar>
              <w:top w:w="60" w:type="dxa"/>
              <w:bottom w:w="60" w:type="dxa"/>
              <w:left w:w="100" w:type="dxa"/>
              <w:right w:w="100" w:type="dxa"/>
            </w:tcMar>
          </w:tcPr>
          <w:p>
            <w:r>
              <w:rPr>
                <w:rFonts w:ascii="Arial" w:hAnsi="Arial"/>
                <w:color w:val="1C1917"/>
                <w:sz w:val="16"/>
              </w:rPr>
              <w:t>排定 2027 Q2 首批工廠連續 30 天每日結算無差異後全面推展。</w:t>
            </w:r>
          </w:p>
        </w:tc>
        <w:tc>
          <w:tcPr>
            <w:tcW w:type="dxa" w:w="1728"/>
            <w:shd w:fill="FFFFFF"/>
            <w:tcMar>
              <w:top w:w="60" w:type="dxa"/>
              <w:bottom w:w="60" w:type="dxa"/>
              <w:left w:w="100" w:type="dxa"/>
              <w:right w:w="100" w:type="dxa"/>
            </w:tcMar>
          </w:tcPr>
          <w:p>
            <w:r>
              <w:rPr>
                <w:rFonts w:ascii="Arial" w:hAnsi="Arial"/>
                <w:color w:val="1C1917"/>
                <w:sz w:val="16"/>
              </w:rPr>
              <w:t>全體主管遵行</w:t>
            </w:r>
          </w:p>
        </w:tc>
      </w:tr>
    </w:tbl>
    <w:p>
      <w:pPr>
        <w:spacing w:after="80"/>
      </w:pPr>
    </w:p>
    <w:p>
      <w:r>
        <w:br w:type="page"/>
      </w:r>
    </w:p>
    <w:p>
      <w:pPr>
        <w:spacing w:before="160" w:after="80"/>
      </w:pPr>
      <w:r>
        <w:rPr>
          <w:rFonts w:ascii="Arial" w:hAnsi="Arial"/>
          <w:b/>
          <w:color w:val="D97706"/>
          <w:sz w:val="22"/>
        </w:rPr>
        <w:t xml:space="preserve">【附錄 A】 </w:t>
      </w:r>
      <w:r>
        <w:rPr>
          <w:rFonts w:ascii="Arial" w:hAnsi="Arial"/>
          <w:b/>
          <w:color w:val="A83212"/>
          <w:sz w:val="30"/>
        </w:rPr>
        <w:t>MS SQL CDC 異動捕獲與資料湖倉分層標準 DDL 原始碼</w:t>
      </w:r>
    </w:p>
    <w:p>
      <w:pPr>
        <w:spacing w:before="0" w:after="200"/>
      </w:pPr>
      <w:r>
        <w:rPr>
          <w:rFonts w:ascii="Arial" w:hAnsi="Arial"/>
          <w:i/>
          <w:color w:val="78716C"/>
          <w:sz w:val="19"/>
        </w:rPr>
        <w:t>Appendix A · SQL Server CDC Enablement &amp; Lakehouse Table Schemas</w:t>
      </w:r>
    </w:p>
    <w:p>
      <w:pPr>
        <w:spacing w:before="0" w:after="120" w:line="276" w:lineRule="auto"/>
      </w:pPr>
      <w:r>
        <w:rPr>
          <w:rFonts w:ascii="Arial" w:hAnsi="Arial"/>
          <w:color w:val="1C1917"/>
          <w:sz w:val="19"/>
        </w:rPr>
        <w:t>本附錄收錄信源海外廠 MS SQL AlwaysOn 啟用原生 CDC 與 Delta Lake 分層儲存之標準 DDL 語法：</w:t>
      </w:r>
    </w:p>
    <w:p>
      <w:pPr>
        <w:spacing w:before="0" w:after="200" w:line="276" w:lineRule="auto"/>
      </w:pPr>
      <w:r>
        <w:rPr>
          <w:rFonts w:ascii="Arial" w:hAnsi="Arial"/>
          <w:b/>
          <w:color w:val="1C1917"/>
          <w:sz w:val="19"/>
        </w:rPr>
        <w:t>SQL DDL 程式碼規格：</w:t>
      </w:r>
      <w:r>
        <w:rPr>
          <w:rFonts w:ascii="Arial" w:hAnsi="Arial"/>
          <w:color w:val="1C1917"/>
          <w:sz w:val="19"/>
        </w:rPr>
        <w:t>-- 1. 在海外工廠資料庫層級啟用 CDC</w:t>
        <w:br/>
        <w:t>USE [RSI_MES_FactoryDB];</w:t>
        <w:br/>
        <w:t>GO</w:t>
        <w:br/>
        <w:t>EXEC sys.sp_cdc_enable_db;</w:t>
        <w:br/>
        <w:t>GO</w:t>
        <w:br/>
        <w:br/>
        <w:t>-- 2. 在關鍵成衣裁片刷槍與計件資料表啟用 CDC 捕獲</w:t>
        <w:br/>
        <w:t>EXEC sys.sp_cdc_enable_table</w:t>
        <w:br/>
        <w:t xml:space="preserve">    @source_schema = N'dbo',</w:t>
        <w:br/>
        <w:t xml:space="preserve">    @source_name   = N'tbl_BundleTracking',</w:t>
        <w:br/>
        <w:t xml:space="preserve">    @role_name     = N'cdc_admin',</w:t>
        <w:br/>
        <w:t xml:space="preserve">    @supports_net_changes = 1;</w:t>
        <w:br/>
        <w:t>GO</w:t>
        <w:br/>
        <w:br/>
        <w:t>-- 3. 設定深夜離峰資料保留週期為 3 天 (4320 分鐘)</w:t>
        <w:br/>
        <w:t xml:space="preserve">EXEC sys.sp_cdc_change_job </w:t>
        <w:br/>
        <w:t xml:space="preserve">    @job_type = N'cleanup',</w:t>
        <w:br/>
        <w:t xml:space="preserve">    @retention = 4320;</w:t>
        <w:br/>
        <w:t>GO</w:t>
        <w:br/>
        <w:br/>
        <w:t>-- 4. 建立總部湖倉 Gold 層成衣綜合指標彙總資料表</w:t>
        <w:br/>
        <w:t>CREATE TABLE gold.Fact_DailySewingPerformance (</w:t>
        <w:br/>
        <w:t xml:space="preserve">    PerformanceSK BIGINT IDENTITY(1,1) PRIMARY KEY,</w:t>
        <w:br/>
        <w:t xml:space="preserve">    PlantCode VARCHAR(10) NOT NULL,</w:t>
        <w:br/>
        <w:t xml:space="preserve">    WorkOrderNo VARCHAR(30) NOT NULL,</w:t>
        <w:br/>
        <w:t xml:space="preserve">    StyleID VARCHAR(30) NOT NULL,</w:t>
        <w:br/>
        <w:t xml:space="preserve">    ProductionDate DATE NOT NULL,</w:t>
        <w:br/>
        <w:t xml:space="preserve">    LineBalanceRate DECIMAL(5,2) NOT NULL,</w:t>
        <w:br/>
        <w:t xml:space="preserve">    FabricUtilizationRate DECIMAL(5,2) NOT NULL,</w:t>
        <w:br/>
        <w:t xml:space="preserve">    FourGatePassStatus BIT NOT NULL,</w:t>
        <w:br/>
        <w:t xml:space="preserve">    TotalOutputQty INT NOT NULL,</w:t>
        <w:br/>
        <w:t xml:space="preserve">    CreatedAt DATETIME2 DEFAULT SYSUTCDATETIME()</w:t>
        <w:br/>
        <w:t>);</w:t>
      </w:r>
    </w:p>
    <w:p>
      <w:r>
        <w:br w:type="page"/>
      </w:r>
    </w:p>
    <w:p>
      <w:pPr>
        <w:spacing w:before="160" w:after="80"/>
      </w:pPr>
      <w:r>
        <w:rPr>
          <w:rFonts w:ascii="Arial" w:hAnsi="Arial"/>
          <w:b/>
          <w:color w:val="D97706"/>
          <w:sz w:val="22"/>
        </w:rPr>
        <w:t xml:space="preserve">【附錄 B】 </w:t>
      </w:r>
      <w:r>
        <w:rPr>
          <w:rFonts w:ascii="Arial" w:hAnsi="Arial"/>
          <w:b/>
          <w:color w:val="A83212"/>
          <w:sz w:val="30"/>
        </w:rPr>
        <w:t>C# .NET 8 企業級 API 分層與 ApiResponse 信封模式代碼</w:t>
      </w:r>
    </w:p>
    <w:p>
      <w:pPr>
        <w:spacing w:before="0" w:after="200"/>
      </w:pPr>
      <w:r>
        <w:rPr>
          <w:rFonts w:ascii="Arial" w:hAnsi="Arial"/>
          <w:i/>
          <w:color w:val="78716C"/>
          <w:sz w:val="19"/>
        </w:rPr>
        <w:t>Appendix B · Production C# .NET 8 Generic Envelope Implementation</w:t>
      </w:r>
    </w:p>
    <w:p>
      <w:pPr>
        <w:spacing w:before="0" w:after="120" w:line="276" w:lineRule="auto"/>
      </w:pPr>
      <w:r>
        <w:rPr>
          <w:rFonts w:ascii="Arial" w:hAnsi="Arial"/>
          <w:color w:val="1C1917"/>
          <w:sz w:val="19"/>
        </w:rPr>
        <w:t>本附錄收錄信源全集團後端微服務必須強制繼承之通用 API 回傳信封與控制器基底實作代碼：</w:t>
      </w:r>
    </w:p>
    <w:p>
      <w:pPr>
        <w:spacing w:before="0" w:after="200" w:line="276" w:lineRule="auto"/>
      </w:pPr>
      <w:r>
        <w:rPr>
          <w:rFonts w:ascii="Arial" w:hAnsi="Arial"/>
          <w:b/>
          <w:color w:val="1C1917"/>
          <w:sz w:val="19"/>
        </w:rPr>
        <w:t>C# .NET 8 程式碼規格：</w:t>
      </w:r>
      <w:r>
        <w:rPr>
          <w:rFonts w:ascii="Arial" w:hAnsi="Arial"/>
          <w:color w:val="1C1917"/>
          <w:sz w:val="19"/>
        </w:rPr>
        <w:t>// 1. 全集團通用 API 回傳標準信封模型</w:t>
        <w:br/>
        <w:t>public class ApiResponse&lt;T&gt;</w:t>
        <w:br/>
        <w:t>{</w:t>
        <w:br/>
        <w:t xml:space="preserve">    public bool Success { get; set; }</w:t>
        <w:br/>
        <w:t xml:space="preserve">    public string Code { get; set; }</w:t>
        <w:br/>
        <w:t xml:space="preserve">    public string Message { get; set; }</w:t>
        <w:br/>
        <w:t xml:space="preserve">    public T Data { get; set; }</w:t>
        <w:br/>
        <w:t xml:space="preserve">    public string TraceId { get; set; } = Guid.NewGuid().ToString("N");</w:t>
        <w:br/>
        <w:t xml:space="preserve">    public DateTime Timestamp { get; set; } = DateTime.UtcNow;</w:t>
        <w:br/>
        <w:br/>
        <w:t xml:space="preserve">    public static ApiResponse&lt;T&gt; Ok(T data, string msg = "Success") =&gt;</w:t>
        <w:br/>
        <w:t xml:space="preserve">        new() { Success = true, Code = "SUCCESS", Message = msg, Data = data };</w:t>
        <w:br/>
        <w:br/>
        <w:t xml:space="preserve">    public static ApiResponse&lt;T&gt; Fail(string code, string msg) =&gt;</w:t>
        <w:br/>
        <w:t xml:space="preserve">        new() { Success = false, Code = code, Message = msg, Data = default };</w:t>
        <w:br/>
        <w:t>}</w:t>
        <w:br/>
        <w:br/>
        <w:t>// 2. 標準 Controller 實作範例 (無 SQL、純轉發)</w:t>
        <w:br/>
        <w:t>[ApiController]</w:t>
        <w:br/>
        <w:t>[Route("api/v1/[controller]")]</w:t>
        <w:br/>
        <w:t>public class ProductionOrderController : ControllerBase</w:t>
        <w:br/>
        <w:t>{</w:t>
        <w:br/>
        <w:t xml:space="preserve">    private readonly IFourGateService _gateService;</w:t>
        <w:br/>
        <w:t xml:space="preserve">    public ProductionOrderController(IFourGateService gateService) =&gt; _gateService = gateService;</w:t>
        <w:br/>
        <w:br/>
        <w:t xml:space="preserve">    [HttpPost("{orderNo}/verify-gates")]</w:t>
        <w:br/>
        <w:t xml:space="preserve">    public async Task&lt;ActionResult&lt;ApiResponse&lt;GateValidationResult&gt;&gt;&gt; VerifyGates(string orderNo)</w:t>
        <w:br/>
        <w:t xml:space="preserve">    {</w:t>
        <w:br/>
        <w:t xml:space="preserve">        var result = await _gateService.VerifyFourGatesAsync(orderNo);</w:t>
        <w:br/>
        <w:t xml:space="preserve">        return result.IsAllPassed </w:t>
        <w:br/>
        <w:t xml:space="preserve">            ? Ok(ApiResponse&lt;GateValidationResult&gt;.Ok(result, "4-Gate All Passed. Ready to Sew."))</w:t>
        <w:br/>
        <w:t xml:space="preserve">            : BadRequest(ApiResponse&lt;GateValidationResult&gt;.Fail("GATE_UNREADY", result.ErrorMessage));</w:t>
        <w:br/>
        <w:t xml:space="preserve">    }</w:t>
        <w:br/>
        <w:t>}</w:t>
      </w:r>
    </w:p>
    <w:p>
      <w:r>
        <w:br w:type="page"/>
      </w:r>
    </w:p>
    <w:p>
      <w:pPr>
        <w:spacing w:before="160" w:after="80"/>
      </w:pPr>
      <w:r>
        <w:rPr>
          <w:rFonts w:ascii="Arial" w:hAnsi="Arial"/>
          <w:b/>
          <w:color w:val="D97706"/>
          <w:sz w:val="22"/>
        </w:rPr>
        <w:t xml:space="preserve">【附錄 C】 </w:t>
      </w:r>
      <w:r>
        <w:rPr>
          <w:rFonts w:ascii="Arial" w:hAnsi="Arial"/>
          <w:b/>
          <w:color w:val="A83212"/>
          <w:sz w:val="30"/>
        </w:rPr>
        <w:t>4-Gate 產前門禁策略模式 (Strategy Pattern) 實作範例代碼</w:t>
      </w:r>
    </w:p>
    <w:p>
      <w:pPr>
        <w:spacing w:before="0" w:after="200"/>
      </w:pPr>
      <w:r>
        <w:rPr>
          <w:rFonts w:ascii="Arial" w:hAnsi="Arial"/>
          <w:i/>
          <w:color w:val="78716C"/>
          <w:sz w:val="19"/>
        </w:rPr>
        <w:t>Appendix C · C# Strategy Pattern Implementation for Ready-to-Sew 4-Gate</w:t>
      </w:r>
    </w:p>
    <w:p>
      <w:pPr>
        <w:spacing w:before="0" w:after="120" w:line="276" w:lineRule="auto"/>
      </w:pPr>
      <w:r>
        <w:rPr>
          <w:rFonts w:ascii="Arial" w:hAnsi="Arial"/>
          <w:color w:val="1C1917"/>
          <w:sz w:val="19"/>
        </w:rPr>
        <w:t>本附錄收錄 4-Gate 產前門禁採用 GoF 策略模式（Strategy Pattern）解耦設計之生產等級代碼：</w:t>
      </w:r>
    </w:p>
    <w:p>
      <w:pPr>
        <w:spacing w:before="0" w:after="200" w:line="276" w:lineRule="auto"/>
      </w:pPr>
      <w:r>
        <w:rPr>
          <w:rFonts w:ascii="Arial" w:hAnsi="Arial"/>
          <w:b/>
          <w:color w:val="1C1917"/>
          <w:sz w:val="19"/>
        </w:rPr>
        <w:t>C# 策略模式規格：</w:t>
      </w:r>
      <w:r>
        <w:rPr>
          <w:rFonts w:ascii="Arial" w:hAnsi="Arial"/>
          <w:color w:val="1C1917"/>
          <w:sz w:val="19"/>
        </w:rPr>
        <w:t>public interface IGateStrategy</w:t>
        <w:br/>
        <w:t>{</w:t>
        <w:br/>
        <w:t xml:space="preserve">    int GateNumber { get; }</w:t>
        <w:br/>
        <w:t xml:space="preserve">    Task&lt;GateCheckResult&gt; EvaluateAsync(string orderNo, CancellationToken ct);</w:t>
        <w:br/>
        <w:t>}</w:t>
        <w:br/>
        <w:br/>
        <w:t>public class Gate1MaterialKitStrategy : IGateStrategy</w:t>
        <w:br/>
        <w:t>{</w:t>
        <w:br/>
        <w:t xml:space="preserve">    public int GateNumber =&gt; 1;</w:t>
        <w:br/>
        <w:t xml:space="preserve">    private readonly IWmsRepository _wmsRepo;</w:t>
        <w:br/>
        <w:t xml:space="preserve">    public Gate1MaterialKitStrategy(IWmsRepository wmsRepo) =&gt; _wmsRepo = wmsRepo;</w:t>
        <w:br/>
        <w:br/>
        <w:t xml:space="preserve">    public async Task&lt;GateCheckResult&gt; EvaluateAsync(string orderNo, CancellationToken ct)</w:t>
        <w:br/>
        <w:t xml:space="preserve">    {</w:t>
        <w:br/>
        <w:t xml:space="preserve">        var kitStatus = await _wmsRepo.GetMaterialKitRatioAsync(orderNo, ct);</w:t>
        <w:br/>
        <w:t xml:space="preserve">        if (kitStatus.Ratio &lt; 1.0m)</w:t>
        <w:br/>
        <w:t xml:space="preserve">            return GateCheckResult.Failed($"Gate 1 缺料：{kitStatus.MissingItemsDescription}");</w:t>
        <w:br/>
        <w:t xml:space="preserve">        return GateCheckResult.Passed("主輔料 100% 齊套，檢驗合格。");</w:t>
        <w:br/>
        <w:t xml:space="preserve">    }</w:t>
        <w:br/>
        <w:t>}</w:t>
        <w:br/>
        <w:br/>
        <w:t>public class FourGateService : IFourGateService</w:t>
        <w:br/>
        <w:t>{</w:t>
        <w:br/>
        <w:t xml:space="preserve">    private readonly IEnumerable&lt;IGateStrategy&gt; _strategies;</w:t>
        <w:br/>
        <w:t xml:space="preserve">    public FourGateService(IEnumerable&lt;IGateStrategy&gt; strategies) =&gt; _strategies = strategies;</w:t>
        <w:br/>
        <w:br/>
        <w:t xml:space="preserve">    public async Task&lt;GateValidationResult&gt; VerifyFourGatesAsync(string orderNo)</w:t>
        <w:br/>
        <w:t xml:space="preserve">    {</w:t>
        <w:br/>
        <w:t xml:space="preserve">        foreach (var strategy in _strategies.OrderBy(s =&gt; s.GateNumber))</w:t>
        <w:br/>
        <w:t xml:space="preserve">        {</w:t>
        <w:br/>
        <w:t xml:space="preserve">            var res = await strategy.EvaluateAsync(orderNo, CancellationToken.None);</w:t>
        <w:br/>
        <w:t xml:space="preserve">            if (!res.Passed) return new GateValidationResult { IsAllPassed = false, ErrorMessage = res.Message };</w:t>
        <w:br/>
        <w:t xml:space="preserve">        }</w:t>
        <w:br/>
        <w:t xml:space="preserve">        return new GateValidationResult { IsAllPassed = true };</w:t>
        <w:br/>
        <w:t xml:space="preserve">    }</w:t>
        <w:br/>
        <w:t>}</w:t>
      </w:r>
    </w:p>
    <w:p>
      <w:r>
        <w:br w:type="page"/>
      </w:r>
    </w:p>
    <w:p>
      <w:pPr>
        <w:spacing w:before="160" w:after="80"/>
      </w:pPr>
      <w:r>
        <w:rPr>
          <w:rFonts w:ascii="Arial" w:hAnsi="Arial"/>
          <w:b/>
          <w:color w:val="D97706"/>
          <w:sz w:val="22"/>
        </w:rPr>
        <w:t xml:space="preserve">【附錄 D】 </w:t>
      </w:r>
      <w:r>
        <w:rPr>
          <w:rFonts w:ascii="Arial" w:hAnsi="Arial"/>
          <w:b/>
          <w:color w:val="A83212"/>
          <w:sz w:val="30"/>
        </w:rPr>
        <w:t>信源 13 大工程技術角色代碼（R01-FE ~ R13-PM）與職能矩陣</w:t>
      </w:r>
    </w:p>
    <w:p>
      <w:pPr>
        <w:spacing w:before="0" w:after="200"/>
      </w:pPr>
      <w:r>
        <w:rPr>
          <w:rFonts w:ascii="Arial" w:hAnsi="Arial"/>
          <w:i/>
          <w:color w:val="78716C"/>
          <w:sz w:val="19"/>
        </w:rPr>
        <w:t>Appendix D · The 13 Engineering Role Codes (R01 to R13) &amp; Skill Matrix</w:t>
      </w:r>
    </w:p>
    <w:p>
      <w:pPr>
        <w:spacing w:before="0" w:after="120" w:line="276" w:lineRule="auto"/>
      </w:pPr>
      <w:r>
        <w:rPr>
          <w:rFonts w:ascii="Arial" w:hAnsi="Arial"/>
          <w:color w:val="1C1917"/>
          <w:sz w:val="19"/>
        </w:rPr>
        <w:t>為徹底將問卷與職能評鑑標準化，顧問團隊制定了信源 13 大專業技術角色官方編碼與 130 題微軟實戰題庫映射表：</w:t>
      </w:r>
    </w:p>
    <w:tbl>
      <w:tblPr>
        <w:tblW w:type="auto" w:w="0"/>
        <w:jc w:val="center"/>
        <w:tblLook w:firstColumn="1" w:firstRow="1" w:lastColumn="0" w:lastRow="0" w:noHBand="0" w:noVBand="1" w:val="04A0"/>
      </w:tblPr>
      <w:tblGrid>
        <w:gridCol w:w="2412"/>
        <w:gridCol w:w="2412"/>
        <w:gridCol w:w="2412"/>
        <w:gridCol w:w="2412"/>
      </w:tblGrid>
      <w:tr>
        <w:tc>
          <w:tcPr>
            <w:tcW w:type="dxa" w:w="1728"/>
            <w:shd w:fill="F5EFEB"/>
            <w:tcMar>
              <w:top w:w="80" w:type="dxa"/>
              <w:bottom w:w="80" w:type="dxa"/>
              <w:left w:w="100" w:type="dxa"/>
              <w:right w:w="100" w:type="dxa"/>
            </w:tcMar>
          </w:tcPr>
          <w:p>
            <w:r>
              <w:rPr>
                <w:rFonts w:ascii="Arial" w:hAnsi="Arial"/>
                <w:b/>
                <w:color w:val="A83212"/>
                <w:sz w:val="17"/>
              </w:rPr>
              <w:t>官方角色代碼</w:t>
            </w:r>
          </w:p>
        </w:tc>
        <w:tc>
          <w:tcPr>
            <w:tcW w:type="dxa" w:w="3168"/>
            <w:shd w:fill="F5EFEB"/>
            <w:tcMar>
              <w:top w:w="80" w:type="dxa"/>
              <w:bottom w:w="80" w:type="dxa"/>
              <w:left w:w="100" w:type="dxa"/>
              <w:right w:w="100" w:type="dxa"/>
            </w:tcMar>
          </w:tcPr>
          <w:p>
            <w:r>
              <w:rPr>
                <w:rFonts w:ascii="Arial" w:hAnsi="Arial"/>
                <w:b/>
                <w:color w:val="A83212"/>
                <w:sz w:val="17"/>
              </w:rPr>
              <w:t>專業角色職能名稱</w:t>
            </w:r>
          </w:p>
        </w:tc>
        <w:tc>
          <w:tcPr>
            <w:tcW w:type="dxa" w:w="3456"/>
            <w:shd w:fill="F5EFEB"/>
            <w:tcMar>
              <w:top w:w="80" w:type="dxa"/>
              <w:bottom w:w="80" w:type="dxa"/>
              <w:left w:w="100" w:type="dxa"/>
              <w:right w:w="100" w:type="dxa"/>
            </w:tcMar>
          </w:tcPr>
          <w:p>
            <w:r>
              <w:rPr>
                <w:rFonts w:ascii="Arial" w:hAnsi="Arial"/>
                <w:b/>
                <w:color w:val="A83212"/>
                <w:sz w:val="17"/>
              </w:rPr>
              <w:t>微軟技術棧核心要求</w:t>
            </w:r>
          </w:p>
        </w:tc>
        <w:tc>
          <w:tcPr>
            <w:tcW w:type="dxa" w:w="2016"/>
            <w:shd w:fill="F5EFEB"/>
            <w:tcMar>
              <w:top w:w="80" w:type="dxa"/>
              <w:bottom w:w="80" w:type="dxa"/>
              <w:left w:w="100" w:type="dxa"/>
              <w:right w:w="100" w:type="dxa"/>
            </w:tcMar>
          </w:tcPr>
          <w:p>
            <w:r>
              <w:rPr>
                <w:rFonts w:ascii="Arial" w:hAnsi="Arial"/>
                <w:b/>
                <w:color w:val="A83212"/>
                <w:sz w:val="17"/>
              </w:rPr>
              <w:t>專屬題號區間編碼</w:t>
            </w:r>
          </w:p>
        </w:tc>
      </w:tr>
      <w:tr>
        <w:tc>
          <w:tcPr>
            <w:tcW w:type="dxa" w:w="1728"/>
            <w:shd w:fill="FFFFFF"/>
            <w:tcMar>
              <w:top w:w="60" w:type="dxa"/>
              <w:bottom w:w="60" w:type="dxa"/>
              <w:left w:w="100" w:type="dxa"/>
              <w:right w:w="100" w:type="dxa"/>
            </w:tcMar>
          </w:tcPr>
          <w:p>
            <w:r>
              <w:rPr>
                <w:rFonts w:ascii="Arial" w:hAnsi="Arial"/>
                <w:color w:val="1C1917"/>
                <w:sz w:val="16"/>
              </w:rPr>
              <w:t>R01-FE</w:t>
            </w:r>
          </w:p>
        </w:tc>
        <w:tc>
          <w:tcPr>
            <w:tcW w:type="dxa" w:w="3168"/>
            <w:shd w:fill="FFFFFF"/>
            <w:tcMar>
              <w:top w:w="60" w:type="dxa"/>
              <w:bottom w:w="60" w:type="dxa"/>
              <w:left w:w="100" w:type="dxa"/>
              <w:right w:w="100" w:type="dxa"/>
            </w:tcMar>
          </w:tcPr>
          <w:p>
            <w:r>
              <w:rPr>
                <w:rFonts w:ascii="Arial" w:hAnsi="Arial"/>
                <w:color w:val="1C1917"/>
                <w:sz w:val="16"/>
              </w:rPr>
              <w:t>前端工程師 (Frontend Dev)</w:t>
            </w:r>
          </w:p>
        </w:tc>
        <w:tc>
          <w:tcPr>
            <w:tcW w:type="dxa" w:w="3456"/>
            <w:shd w:fill="FFFFFF"/>
            <w:tcMar>
              <w:top w:w="60" w:type="dxa"/>
              <w:bottom w:w="60" w:type="dxa"/>
              <w:left w:w="100" w:type="dxa"/>
              <w:right w:w="100" w:type="dxa"/>
            </w:tcMar>
          </w:tcPr>
          <w:p>
            <w:r>
              <w:rPr>
                <w:rFonts w:ascii="Arial" w:hAnsi="Arial"/>
                <w:color w:val="1C1917"/>
                <w:sz w:val="16"/>
              </w:rPr>
              <w:t>Vue 3, TypeScript, Vite, Responsive RWD</w:t>
            </w:r>
          </w:p>
        </w:tc>
        <w:tc>
          <w:tcPr>
            <w:tcW w:type="dxa" w:w="2016"/>
            <w:shd w:fill="FFFFFF"/>
            <w:tcMar>
              <w:top w:w="60" w:type="dxa"/>
              <w:bottom w:w="60" w:type="dxa"/>
              <w:left w:w="100" w:type="dxa"/>
              <w:right w:w="100" w:type="dxa"/>
            </w:tcMar>
          </w:tcPr>
          <w:p>
            <w:r>
              <w:rPr>
                <w:rFonts w:ascii="Arial" w:hAnsi="Arial"/>
                <w:color w:val="1C1917"/>
                <w:sz w:val="16"/>
              </w:rPr>
              <w:t>[R01-FE-01] ~ [R01-FE-10]</w:t>
            </w:r>
          </w:p>
        </w:tc>
      </w:tr>
      <w:tr>
        <w:tc>
          <w:tcPr>
            <w:tcW w:type="dxa" w:w="1728"/>
            <w:shd w:fill="FAFAF9"/>
            <w:tcMar>
              <w:top w:w="60" w:type="dxa"/>
              <w:bottom w:w="60" w:type="dxa"/>
              <w:left w:w="100" w:type="dxa"/>
              <w:right w:w="100" w:type="dxa"/>
            </w:tcMar>
          </w:tcPr>
          <w:p>
            <w:r>
              <w:rPr>
                <w:rFonts w:ascii="Arial" w:hAnsi="Arial"/>
                <w:color w:val="1C1917"/>
                <w:sz w:val="16"/>
              </w:rPr>
              <w:t>R02-BE</w:t>
            </w:r>
          </w:p>
        </w:tc>
        <w:tc>
          <w:tcPr>
            <w:tcW w:type="dxa" w:w="3168"/>
            <w:shd w:fill="FAFAF9"/>
            <w:tcMar>
              <w:top w:w="60" w:type="dxa"/>
              <w:bottom w:w="60" w:type="dxa"/>
              <w:left w:w="100" w:type="dxa"/>
              <w:right w:w="100" w:type="dxa"/>
            </w:tcMar>
          </w:tcPr>
          <w:p>
            <w:r>
              <w:rPr>
                <w:rFonts w:ascii="Arial" w:hAnsi="Arial"/>
                <w:color w:val="1C1917"/>
                <w:sz w:val="16"/>
              </w:rPr>
              <w:t>後端工程師 (Backend Dev)</w:t>
            </w:r>
          </w:p>
        </w:tc>
        <w:tc>
          <w:tcPr>
            <w:tcW w:type="dxa" w:w="3456"/>
            <w:shd w:fill="FAFAF9"/>
            <w:tcMar>
              <w:top w:w="60" w:type="dxa"/>
              <w:bottom w:w="60" w:type="dxa"/>
              <w:left w:w="100" w:type="dxa"/>
              <w:right w:w="100" w:type="dxa"/>
            </w:tcMar>
          </w:tcPr>
          <w:p>
            <w:r>
              <w:rPr>
                <w:rFonts w:ascii="Arial" w:hAnsi="Arial"/>
                <w:color w:val="1C1917"/>
                <w:sz w:val="16"/>
              </w:rPr>
              <w:t>C# .NET 8, ASP.NET Core, EF Core, Dapper</w:t>
            </w:r>
          </w:p>
        </w:tc>
        <w:tc>
          <w:tcPr>
            <w:tcW w:type="dxa" w:w="2016"/>
            <w:shd w:fill="FAFAF9"/>
            <w:tcMar>
              <w:top w:w="60" w:type="dxa"/>
              <w:bottom w:w="60" w:type="dxa"/>
              <w:left w:w="100" w:type="dxa"/>
              <w:right w:w="100" w:type="dxa"/>
            </w:tcMar>
          </w:tcPr>
          <w:p>
            <w:r>
              <w:rPr>
                <w:rFonts w:ascii="Arial" w:hAnsi="Arial"/>
                <w:color w:val="1C1917"/>
                <w:sz w:val="16"/>
              </w:rPr>
              <w:t>[R02-BE-01] ~ [R02-BE-10]</w:t>
            </w:r>
          </w:p>
        </w:tc>
      </w:tr>
      <w:tr>
        <w:tc>
          <w:tcPr>
            <w:tcW w:type="dxa" w:w="1728"/>
            <w:shd w:fill="FFFFFF"/>
            <w:tcMar>
              <w:top w:w="60" w:type="dxa"/>
              <w:bottom w:w="60" w:type="dxa"/>
              <w:left w:w="100" w:type="dxa"/>
              <w:right w:w="100" w:type="dxa"/>
            </w:tcMar>
          </w:tcPr>
          <w:p>
            <w:r>
              <w:rPr>
                <w:rFonts w:ascii="Arial" w:hAnsi="Arial"/>
                <w:color w:val="1C1917"/>
                <w:sz w:val="16"/>
              </w:rPr>
              <w:t>R03-FS</w:t>
            </w:r>
          </w:p>
        </w:tc>
        <w:tc>
          <w:tcPr>
            <w:tcW w:type="dxa" w:w="3168"/>
            <w:shd w:fill="FFFFFF"/>
            <w:tcMar>
              <w:top w:w="60" w:type="dxa"/>
              <w:bottom w:w="60" w:type="dxa"/>
              <w:left w:w="100" w:type="dxa"/>
              <w:right w:w="100" w:type="dxa"/>
            </w:tcMar>
          </w:tcPr>
          <w:p>
            <w:r>
              <w:rPr>
                <w:rFonts w:ascii="Arial" w:hAnsi="Arial"/>
                <w:color w:val="1C1917"/>
                <w:sz w:val="16"/>
              </w:rPr>
              <w:t>全端工程師 (Fullstack Dev)</w:t>
            </w:r>
          </w:p>
        </w:tc>
        <w:tc>
          <w:tcPr>
            <w:tcW w:type="dxa" w:w="3456"/>
            <w:shd w:fill="FFFFFF"/>
            <w:tcMar>
              <w:top w:w="60" w:type="dxa"/>
              <w:bottom w:w="60" w:type="dxa"/>
              <w:left w:w="100" w:type="dxa"/>
              <w:right w:w="100" w:type="dxa"/>
            </w:tcMar>
          </w:tcPr>
          <w:p>
            <w:r>
              <w:rPr>
                <w:rFonts w:ascii="Arial" w:hAnsi="Arial"/>
                <w:color w:val="1C1917"/>
                <w:sz w:val="16"/>
              </w:rPr>
              <w:t>C# .NET 8 + Vue 3, API 整合, 微服務架構</w:t>
            </w:r>
          </w:p>
        </w:tc>
        <w:tc>
          <w:tcPr>
            <w:tcW w:type="dxa" w:w="2016"/>
            <w:shd w:fill="FFFFFF"/>
            <w:tcMar>
              <w:top w:w="60" w:type="dxa"/>
              <w:bottom w:w="60" w:type="dxa"/>
              <w:left w:w="100" w:type="dxa"/>
              <w:right w:w="100" w:type="dxa"/>
            </w:tcMar>
          </w:tcPr>
          <w:p>
            <w:r>
              <w:rPr>
                <w:rFonts w:ascii="Arial" w:hAnsi="Arial"/>
                <w:color w:val="1C1917"/>
                <w:sz w:val="16"/>
              </w:rPr>
              <w:t>[R03-FS-01] ~ [R03-FS-10]</w:t>
            </w:r>
          </w:p>
        </w:tc>
      </w:tr>
      <w:tr>
        <w:tc>
          <w:tcPr>
            <w:tcW w:type="dxa" w:w="1728"/>
            <w:shd w:fill="FAFAF9"/>
            <w:tcMar>
              <w:top w:w="60" w:type="dxa"/>
              <w:bottom w:w="60" w:type="dxa"/>
              <w:left w:w="100" w:type="dxa"/>
              <w:right w:w="100" w:type="dxa"/>
            </w:tcMar>
          </w:tcPr>
          <w:p>
            <w:r>
              <w:rPr>
                <w:rFonts w:ascii="Arial" w:hAnsi="Arial"/>
                <w:color w:val="1C1917"/>
                <w:sz w:val="16"/>
              </w:rPr>
              <w:t>R04-DB</w:t>
            </w:r>
          </w:p>
        </w:tc>
        <w:tc>
          <w:tcPr>
            <w:tcW w:type="dxa" w:w="3168"/>
            <w:shd w:fill="FAFAF9"/>
            <w:tcMar>
              <w:top w:w="60" w:type="dxa"/>
              <w:bottom w:w="60" w:type="dxa"/>
              <w:left w:w="100" w:type="dxa"/>
              <w:right w:w="100" w:type="dxa"/>
            </w:tcMar>
          </w:tcPr>
          <w:p>
            <w:r>
              <w:rPr>
                <w:rFonts w:ascii="Arial" w:hAnsi="Arial"/>
                <w:color w:val="1C1917"/>
                <w:sz w:val="16"/>
              </w:rPr>
              <w:t>資料庫工程師 (Database/DBA)</w:t>
            </w:r>
          </w:p>
        </w:tc>
        <w:tc>
          <w:tcPr>
            <w:tcW w:type="dxa" w:w="3456"/>
            <w:shd w:fill="FAFAF9"/>
            <w:tcMar>
              <w:top w:w="60" w:type="dxa"/>
              <w:bottom w:w="60" w:type="dxa"/>
              <w:left w:w="100" w:type="dxa"/>
              <w:right w:w="100" w:type="dxa"/>
            </w:tcMar>
          </w:tcPr>
          <w:p>
            <w:r>
              <w:rPr>
                <w:rFonts w:ascii="Arial" w:hAnsi="Arial"/>
                <w:color w:val="1C1917"/>
                <w:sz w:val="16"/>
              </w:rPr>
              <w:t>MS SQL Server AlwaysOn, T-SQL, CDC, 死鎖排查</w:t>
            </w:r>
          </w:p>
        </w:tc>
        <w:tc>
          <w:tcPr>
            <w:tcW w:type="dxa" w:w="2016"/>
            <w:shd w:fill="FAFAF9"/>
            <w:tcMar>
              <w:top w:w="60" w:type="dxa"/>
              <w:bottom w:w="60" w:type="dxa"/>
              <w:left w:w="100" w:type="dxa"/>
              <w:right w:w="100" w:type="dxa"/>
            </w:tcMar>
          </w:tcPr>
          <w:p>
            <w:r>
              <w:rPr>
                <w:rFonts w:ascii="Arial" w:hAnsi="Arial"/>
                <w:color w:val="1C1917"/>
                <w:sz w:val="16"/>
              </w:rPr>
              <w:t>[R04-DB-01] ~ [R04-DB-10]</w:t>
            </w:r>
          </w:p>
        </w:tc>
      </w:tr>
      <w:tr>
        <w:tc>
          <w:tcPr>
            <w:tcW w:type="dxa" w:w="1728"/>
            <w:shd w:fill="FFFFFF"/>
            <w:tcMar>
              <w:top w:w="60" w:type="dxa"/>
              <w:bottom w:w="60" w:type="dxa"/>
              <w:left w:w="100" w:type="dxa"/>
              <w:right w:w="100" w:type="dxa"/>
            </w:tcMar>
          </w:tcPr>
          <w:p>
            <w:r>
              <w:rPr>
                <w:rFonts w:ascii="Arial" w:hAnsi="Arial"/>
                <w:color w:val="1C1917"/>
                <w:sz w:val="16"/>
              </w:rPr>
              <w:t>R05-DE</w:t>
            </w:r>
          </w:p>
        </w:tc>
        <w:tc>
          <w:tcPr>
            <w:tcW w:type="dxa" w:w="3168"/>
            <w:shd w:fill="FFFFFF"/>
            <w:tcMar>
              <w:top w:w="60" w:type="dxa"/>
              <w:bottom w:w="60" w:type="dxa"/>
              <w:left w:w="100" w:type="dxa"/>
              <w:right w:w="100" w:type="dxa"/>
            </w:tcMar>
          </w:tcPr>
          <w:p>
            <w:r>
              <w:rPr>
                <w:rFonts w:ascii="Arial" w:hAnsi="Arial"/>
                <w:color w:val="1C1917"/>
                <w:sz w:val="16"/>
              </w:rPr>
              <w:t>數據工程師 (Data Engineer)</w:t>
            </w:r>
          </w:p>
        </w:tc>
        <w:tc>
          <w:tcPr>
            <w:tcW w:type="dxa" w:w="3456"/>
            <w:shd w:fill="FFFFFF"/>
            <w:tcMar>
              <w:top w:w="60" w:type="dxa"/>
              <w:bottom w:w="60" w:type="dxa"/>
              <w:left w:w="100" w:type="dxa"/>
              <w:right w:w="100" w:type="dxa"/>
            </w:tcMar>
          </w:tcPr>
          <w:p>
            <w:r>
              <w:rPr>
                <w:rFonts w:ascii="Arial" w:hAnsi="Arial"/>
                <w:color w:val="1C1917"/>
                <w:sz w:val="16"/>
              </w:rPr>
              <w:t>ADLS Gen2, Medallion 湖倉, ADF Pipeline</w:t>
            </w:r>
          </w:p>
        </w:tc>
        <w:tc>
          <w:tcPr>
            <w:tcW w:type="dxa" w:w="2016"/>
            <w:shd w:fill="FFFFFF"/>
            <w:tcMar>
              <w:top w:w="60" w:type="dxa"/>
              <w:bottom w:w="60" w:type="dxa"/>
              <w:left w:w="100" w:type="dxa"/>
              <w:right w:w="100" w:type="dxa"/>
            </w:tcMar>
          </w:tcPr>
          <w:p>
            <w:r>
              <w:rPr>
                <w:rFonts w:ascii="Arial" w:hAnsi="Arial"/>
                <w:color w:val="1C1917"/>
                <w:sz w:val="16"/>
              </w:rPr>
              <w:t>[R05-DE-01] ~ [R05-DE-10]</w:t>
            </w:r>
          </w:p>
        </w:tc>
      </w:tr>
      <w:tr>
        <w:tc>
          <w:tcPr>
            <w:tcW w:type="dxa" w:w="1728"/>
            <w:shd w:fill="FAFAF9"/>
            <w:tcMar>
              <w:top w:w="60" w:type="dxa"/>
              <w:bottom w:w="60" w:type="dxa"/>
              <w:left w:w="100" w:type="dxa"/>
              <w:right w:w="100" w:type="dxa"/>
            </w:tcMar>
          </w:tcPr>
          <w:p>
            <w:r>
              <w:rPr>
                <w:rFonts w:ascii="Arial" w:hAnsi="Arial"/>
                <w:color w:val="1C1917"/>
                <w:sz w:val="16"/>
              </w:rPr>
              <w:t>R06-BI</w:t>
            </w:r>
          </w:p>
        </w:tc>
        <w:tc>
          <w:tcPr>
            <w:tcW w:type="dxa" w:w="3168"/>
            <w:shd w:fill="FAFAF9"/>
            <w:tcMar>
              <w:top w:w="60" w:type="dxa"/>
              <w:bottom w:w="60" w:type="dxa"/>
              <w:left w:w="100" w:type="dxa"/>
              <w:right w:w="100" w:type="dxa"/>
            </w:tcMar>
          </w:tcPr>
          <w:p>
            <w:r>
              <w:rPr>
                <w:rFonts w:ascii="Arial" w:hAnsi="Arial"/>
                <w:color w:val="1C1917"/>
                <w:sz w:val="16"/>
              </w:rPr>
              <w:t>商業智慧工程師 (BI Engineer)</w:t>
            </w:r>
          </w:p>
        </w:tc>
        <w:tc>
          <w:tcPr>
            <w:tcW w:type="dxa" w:w="3456"/>
            <w:shd w:fill="FAFAF9"/>
            <w:tcMar>
              <w:top w:w="60" w:type="dxa"/>
              <w:bottom w:w="60" w:type="dxa"/>
              <w:left w:w="100" w:type="dxa"/>
              <w:right w:w="100" w:type="dxa"/>
            </w:tcMar>
          </w:tcPr>
          <w:p>
            <w:r>
              <w:rPr>
                <w:rFonts w:ascii="Arial" w:hAnsi="Arial"/>
                <w:color w:val="1C1917"/>
                <w:sz w:val="16"/>
              </w:rPr>
              <w:t>聯銓 Smart eVision, Power BI DAX, 晨會報表</w:t>
            </w:r>
          </w:p>
        </w:tc>
        <w:tc>
          <w:tcPr>
            <w:tcW w:type="dxa" w:w="2016"/>
            <w:shd w:fill="FAFAF9"/>
            <w:tcMar>
              <w:top w:w="60" w:type="dxa"/>
              <w:bottom w:w="60" w:type="dxa"/>
              <w:left w:w="100" w:type="dxa"/>
              <w:right w:w="100" w:type="dxa"/>
            </w:tcMar>
          </w:tcPr>
          <w:p>
            <w:r>
              <w:rPr>
                <w:rFonts w:ascii="Arial" w:hAnsi="Arial"/>
                <w:color w:val="1C1917"/>
                <w:sz w:val="16"/>
              </w:rPr>
              <w:t>[R06-BI-01] ~ [R06-BI-10]</w:t>
            </w:r>
          </w:p>
        </w:tc>
      </w:tr>
      <w:tr>
        <w:tc>
          <w:tcPr>
            <w:tcW w:type="dxa" w:w="1728"/>
            <w:shd w:fill="FFFFFF"/>
            <w:tcMar>
              <w:top w:w="60" w:type="dxa"/>
              <w:bottom w:w="60" w:type="dxa"/>
              <w:left w:w="100" w:type="dxa"/>
              <w:right w:w="100" w:type="dxa"/>
            </w:tcMar>
          </w:tcPr>
          <w:p>
            <w:r>
              <w:rPr>
                <w:rFonts w:ascii="Arial" w:hAnsi="Arial"/>
                <w:color w:val="1C1917"/>
                <w:sz w:val="16"/>
              </w:rPr>
              <w:t>R07-AI</w:t>
            </w:r>
          </w:p>
        </w:tc>
        <w:tc>
          <w:tcPr>
            <w:tcW w:type="dxa" w:w="3168"/>
            <w:shd w:fill="FFFFFF"/>
            <w:tcMar>
              <w:top w:w="60" w:type="dxa"/>
              <w:bottom w:w="60" w:type="dxa"/>
              <w:left w:w="100" w:type="dxa"/>
              <w:right w:w="100" w:type="dxa"/>
            </w:tcMar>
          </w:tcPr>
          <w:p>
            <w:r>
              <w:rPr>
                <w:rFonts w:ascii="Arial" w:hAnsi="Arial"/>
                <w:color w:val="1C1917"/>
                <w:sz w:val="16"/>
              </w:rPr>
              <w:t>AI 演算法工程師 (AI/ML Dev)</w:t>
            </w:r>
          </w:p>
        </w:tc>
        <w:tc>
          <w:tcPr>
            <w:tcW w:type="dxa" w:w="3456"/>
            <w:shd w:fill="FFFFFF"/>
            <w:tcMar>
              <w:top w:w="60" w:type="dxa"/>
              <w:bottom w:w="60" w:type="dxa"/>
              <w:left w:w="100" w:type="dxa"/>
              <w:right w:w="100" w:type="dxa"/>
            </w:tcMar>
          </w:tcPr>
          <w:p>
            <w:r>
              <w:rPr>
                <w:rFonts w:ascii="Arial" w:hAnsi="Arial"/>
                <w:color w:val="1C1917"/>
                <w:sz w:val="16"/>
              </w:rPr>
              <w:t>以圖找圖向量比對, RAG, Bedrock, 提示工程</w:t>
            </w:r>
          </w:p>
        </w:tc>
        <w:tc>
          <w:tcPr>
            <w:tcW w:type="dxa" w:w="2016"/>
            <w:shd w:fill="FFFFFF"/>
            <w:tcMar>
              <w:top w:w="60" w:type="dxa"/>
              <w:bottom w:w="60" w:type="dxa"/>
              <w:left w:w="100" w:type="dxa"/>
              <w:right w:w="100" w:type="dxa"/>
            </w:tcMar>
          </w:tcPr>
          <w:p>
            <w:r>
              <w:rPr>
                <w:rFonts w:ascii="Arial" w:hAnsi="Arial"/>
                <w:color w:val="1C1917"/>
                <w:sz w:val="16"/>
              </w:rPr>
              <w:t>[R07-AI-01] ~ [R07-AI-10]</w:t>
            </w:r>
          </w:p>
        </w:tc>
      </w:tr>
      <w:tr>
        <w:tc>
          <w:tcPr>
            <w:tcW w:type="dxa" w:w="1728"/>
            <w:shd w:fill="FAFAF9"/>
            <w:tcMar>
              <w:top w:w="60" w:type="dxa"/>
              <w:bottom w:w="60" w:type="dxa"/>
              <w:left w:w="100" w:type="dxa"/>
              <w:right w:w="100" w:type="dxa"/>
            </w:tcMar>
          </w:tcPr>
          <w:p>
            <w:r>
              <w:rPr>
                <w:rFonts w:ascii="Arial" w:hAnsi="Arial"/>
                <w:color w:val="1C1917"/>
                <w:sz w:val="16"/>
              </w:rPr>
              <w:t>R08-DO</w:t>
            </w:r>
          </w:p>
        </w:tc>
        <w:tc>
          <w:tcPr>
            <w:tcW w:type="dxa" w:w="3168"/>
            <w:shd w:fill="FAFAF9"/>
            <w:tcMar>
              <w:top w:w="60" w:type="dxa"/>
              <w:bottom w:w="60" w:type="dxa"/>
              <w:left w:w="100" w:type="dxa"/>
              <w:right w:w="100" w:type="dxa"/>
            </w:tcMar>
          </w:tcPr>
          <w:p>
            <w:r>
              <w:rPr>
                <w:rFonts w:ascii="Arial" w:hAnsi="Arial"/>
                <w:color w:val="1C1917"/>
                <w:sz w:val="16"/>
              </w:rPr>
              <w:t>維運工程師 (DevOps/CI-CD)</w:t>
            </w:r>
          </w:p>
        </w:tc>
        <w:tc>
          <w:tcPr>
            <w:tcW w:type="dxa" w:w="3456"/>
            <w:shd w:fill="FAFAF9"/>
            <w:tcMar>
              <w:top w:w="60" w:type="dxa"/>
              <w:bottom w:w="60" w:type="dxa"/>
              <w:left w:w="100" w:type="dxa"/>
              <w:right w:w="100" w:type="dxa"/>
            </w:tcMar>
          </w:tcPr>
          <w:p>
            <w:r>
              <w:rPr>
                <w:rFonts w:ascii="Arial" w:hAnsi="Arial"/>
                <w:color w:val="1C1917"/>
                <w:sz w:val="16"/>
              </w:rPr>
              <w:t>GitLab CI, GitLab MR, Docker 容器, PowerShell</w:t>
            </w:r>
          </w:p>
        </w:tc>
        <w:tc>
          <w:tcPr>
            <w:tcW w:type="dxa" w:w="2016"/>
            <w:shd w:fill="FAFAF9"/>
            <w:tcMar>
              <w:top w:w="60" w:type="dxa"/>
              <w:bottom w:w="60" w:type="dxa"/>
              <w:left w:w="100" w:type="dxa"/>
              <w:right w:w="100" w:type="dxa"/>
            </w:tcMar>
          </w:tcPr>
          <w:p>
            <w:r>
              <w:rPr>
                <w:rFonts w:ascii="Arial" w:hAnsi="Arial"/>
                <w:color w:val="1C1917"/>
                <w:sz w:val="16"/>
              </w:rPr>
              <w:t>[R08-DO-01] ~ [R08-DO-10]</w:t>
            </w:r>
          </w:p>
        </w:tc>
      </w:tr>
      <w:tr>
        <w:tc>
          <w:tcPr>
            <w:tcW w:type="dxa" w:w="1728"/>
            <w:shd w:fill="FFFFFF"/>
            <w:tcMar>
              <w:top w:w="60" w:type="dxa"/>
              <w:bottom w:w="60" w:type="dxa"/>
              <w:left w:w="100" w:type="dxa"/>
              <w:right w:w="100" w:type="dxa"/>
            </w:tcMar>
          </w:tcPr>
          <w:p>
            <w:r>
              <w:rPr>
                <w:rFonts w:ascii="Arial" w:hAnsi="Arial"/>
                <w:color w:val="1C1917"/>
                <w:sz w:val="16"/>
              </w:rPr>
              <w:t>R09-SEC</w:t>
            </w:r>
          </w:p>
        </w:tc>
        <w:tc>
          <w:tcPr>
            <w:tcW w:type="dxa" w:w="3168"/>
            <w:shd w:fill="FFFFFF"/>
            <w:tcMar>
              <w:top w:w="60" w:type="dxa"/>
              <w:bottom w:w="60" w:type="dxa"/>
              <w:left w:w="100" w:type="dxa"/>
              <w:right w:w="100" w:type="dxa"/>
            </w:tcMar>
          </w:tcPr>
          <w:p>
            <w:r>
              <w:rPr>
                <w:rFonts w:ascii="Arial" w:hAnsi="Arial"/>
                <w:color w:val="1C1917"/>
                <w:sz w:val="16"/>
              </w:rPr>
              <w:t>資訊安全工程師 (Cybersecurity)</w:t>
            </w:r>
          </w:p>
        </w:tc>
        <w:tc>
          <w:tcPr>
            <w:tcW w:type="dxa" w:w="3456"/>
            <w:shd w:fill="FFFFFF"/>
            <w:tcMar>
              <w:top w:w="60" w:type="dxa"/>
              <w:bottom w:w="60" w:type="dxa"/>
              <w:left w:w="100" w:type="dxa"/>
              <w:right w:w="100" w:type="dxa"/>
            </w:tcMar>
          </w:tcPr>
          <w:p>
            <w:r>
              <w:rPr>
                <w:rFonts w:ascii="Arial" w:hAnsi="Arial"/>
                <w:color w:val="1C1917"/>
                <w:sz w:val="16"/>
              </w:rPr>
              <w:t>邊界 WAAP, 旁路 API 資安, OWASP, 內控9-1</w:t>
            </w:r>
          </w:p>
        </w:tc>
        <w:tc>
          <w:tcPr>
            <w:tcW w:type="dxa" w:w="2016"/>
            <w:shd w:fill="FFFFFF"/>
            <w:tcMar>
              <w:top w:w="60" w:type="dxa"/>
              <w:bottom w:w="60" w:type="dxa"/>
              <w:left w:w="100" w:type="dxa"/>
              <w:right w:w="100" w:type="dxa"/>
            </w:tcMar>
          </w:tcPr>
          <w:p>
            <w:r>
              <w:rPr>
                <w:rFonts w:ascii="Arial" w:hAnsi="Arial"/>
                <w:color w:val="1C1917"/>
                <w:sz w:val="16"/>
              </w:rPr>
              <w:t>[R09-SEC-01] ~ [R09-SEC-10]</w:t>
            </w:r>
          </w:p>
        </w:tc>
      </w:tr>
      <w:tr>
        <w:tc>
          <w:tcPr>
            <w:tcW w:type="dxa" w:w="1728"/>
            <w:shd w:fill="FAFAF9"/>
            <w:tcMar>
              <w:top w:w="60" w:type="dxa"/>
              <w:bottom w:w="60" w:type="dxa"/>
              <w:left w:w="100" w:type="dxa"/>
              <w:right w:w="100" w:type="dxa"/>
            </w:tcMar>
          </w:tcPr>
          <w:p>
            <w:r>
              <w:rPr>
                <w:rFonts w:ascii="Arial" w:hAnsi="Arial"/>
                <w:color w:val="1C1917"/>
                <w:sz w:val="16"/>
              </w:rPr>
              <w:t>R10-SRE</w:t>
            </w:r>
          </w:p>
        </w:tc>
        <w:tc>
          <w:tcPr>
            <w:tcW w:type="dxa" w:w="3168"/>
            <w:shd w:fill="FAFAF9"/>
            <w:tcMar>
              <w:top w:w="60" w:type="dxa"/>
              <w:bottom w:w="60" w:type="dxa"/>
              <w:left w:w="100" w:type="dxa"/>
              <w:right w:w="100" w:type="dxa"/>
            </w:tcMar>
          </w:tcPr>
          <w:p>
            <w:r>
              <w:rPr>
                <w:rFonts w:ascii="Arial" w:hAnsi="Arial"/>
                <w:color w:val="1C1917"/>
                <w:sz w:val="16"/>
              </w:rPr>
              <w:t>可靠性工程師 (SRE / Infra)</w:t>
            </w:r>
          </w:p>
        </w:tc>
        <w:tc>
          <w:tcPr>
            <w:tcW w:type="dxa" w:w="3456"/>
            <w:shd w:fill="FAFAF9"/>
            <w:tcMar>
              <w:top w:w="60" w:type="dxa"/>
              <w:bottom w:w="60" w:type="dxa"/>
              <w:left w:w="100" w:type="dxa"/>
              <w:right w:w="100" w:type="dxa"/>
            </w:tcMar>
          </w:tcPr>
          <w:p>
            <w:r>
              <w:rPr>
                <w:rFonts w:ascii="Arial" w:hAnsi="Arial"/>
                <w:color w:val="1C1917"/>
                <w:sz w:val="16"/>
              </w:rPr>
              <w:t>Core Switch 25G, NetApp, SD-WAN, 48h 自律</w:t>
            </w:r>
          </w:p>
        </w:tc>
        <w:tc>
          <w:tcPr>
            <w:tcW w:type="dxa" w:w="2016"/>
            <w:shd w:fill="FAFAF9"/>
            <w:tcMar>
              <w:top w:w="60" w:type="dxa"/>
              <w:bottom w:w="60" w:type="dxa"/>
              <w:left w:w="100" w:type="dxa"/>
              <w:right w:w="100" w:type="dxa"/>
            </w:tcMar>
          </w:tcPr>
          <w:p>
            <w:r>
              <w:rPr>
                <w:rFonts w:ascii="Arial" w:hAnsi="Arial"/>
                <w:color w:val="1C1917"/>
                <w:sz w:val="16"/>
              </w:rPr>
              <w:t>[R10-SRE-01] ~ [R10-SRE-10]</w:t>
            </w:r>
          </w:p>
        </w:tc>
      </w:tr>
      <w:tr>
        <w:tc>
          <w:tcPr>
            <w:tcW w:type="dxa" w:w="1728"/>
            <w:shd w:fill="FFFFFF"/>
            <w:tcMar>
              <w:top w:w="60" w:type="dxa"/>
              <w:bottom w:w="60" w:type="dxa"/>
              <w:left w:w="100" w:type="dxa"/>
              <w:right w:w="100" w:type="dxa"/>
            </w:tcMar>
          </w:tcPr>
          <w:p>
            <w:r>
              <w:rPr>
                <w:rFonts w:ascii="Arial" w:hAnsi="Arial"/>
                <w:color w:val="1C1917"/>
                <w:sz w:val="16"/>
              </w:rPr>
              <w:t>R11-ERP</w:t>
            </w:r>
          </w:p>
        </w:tc>
        <w:tc>
          <w:tcPr>
            <w:tcW w:type="dxa" w:w="3168"/>
            <w:shd w:fill="FFFFFF"/>
            <w:tcMar>
              <w:top w:w="60" w:type="dxa"/>
              <w:bottom w:w="60" w:type="dxa"/>
              <w:left w:w="100" w:type="dxa"/>
              <w:right w:w="100" w:type="dxa"/>
            </w:tcMar>
          </w:tcPr>
          <w:p>
            <w:r>
              <w:rPr>
                <w:rFonts w:ascii="Arial" w:hAnsi="Arial"/>
                <w:color w:val="1C1917"/>
                <w:sz w:val="16"/>
              </w:rPr>
              <w:t>ERP 核心顧問 (D365 Specialist)</w:t>
            </w:r>
          </w:p>
        </w:tc>
        <w:tc>
          <w:tcPr>
            <w:tcW w:type="dxa" w:w="3456"/>
            <w:shd w:fill="FFFFFF"/>
            <w:tcMar>
              <w:top w:w="60" w:type="dxa"/>
              <w:bottom w:w="60" w:type="dxa"/>
              <w:left w:w="100" w:type="dxa"/>
              <w:right w:w="100" w:type="dxa"/>
            </w:tcMar>
          </w:tcPr>
          <w:p>
            <w:r>
              <w:rPr>
                <w:rFonts w:ascii="Arial" w:hAnsi="Arial"/>
                <w:color w:val="1C1917"/>
                <w:sz w:val="16"/>
              </w:rPr>
              <w:t>Dynamics 365 F&amp;O, X++, Synapse Link, 財務BOM</w:t>
            </w:r>
          </w:p>
        </w:tc>
        <w:tc>
          <w:tcPr>
            <w:tcW w:type="dxa" w:w="2016"/>
            <w:shd w:fill="FFFFFF"/>
            <w:tcMar>
              <w:top w:w="60" w:type="dxa"/>
              <w:bottom w:w="60" w:type="dxa"/>
              <w:left w:w="100" w:type="dxa"/>
              <w:right w:w="100" w:type="dxa"/>
            </w:tcMar>
          </w:tcPr>
          <w:p>
            <w:r>
              <w:rPr>
                <w:rFonts w:ascii="Arial" w:hAnsi="Arial"/>
                <w:color w:val="1C1917"/>
                <w:sz w:val="16"/>
              </w:rPr>
              <w:t>[R11-ERP-01] ~ [R11-ERP-10]</w:t>
            </w:r>
          </w:p>
        </w:tc>
      </w:tr>
      <w:tr>
        <w:tc>
          <w:tcPr>
            <w:tcW w:type="dxa" w:w="1728"/>
            <w:shd w:fill="FAFAF9"/>
            <w:tcMar>
              <w:top w:w="60" w:type="dxa"/>
              <w:bottom w:w="60" w:type="dxa"/>
              <w:left w:w="100" w:type="dxa"/>
              <w:right w:w="100" w:type="dxa"/>
            </w:tcMar>
          </w:tcPr>
          <w:p>
            <w:r>
              <w:rPr>
                <w:rFonts w:ascii="Arial" w:hAnsi="Arial"/>
                <w:color w:val="1C1917"/>
                <w:sz w:val="16"/>
              </w:rPr>
              <w:t>R12-QA</w:t>
            </w:r>
          </w:p>
        </w:tc>
        <w:tc>
          <w:tcPr>
            <w:tcW w:type="dxa" w:w="3168"/>
            <w:shd w:fill="FAFAF9"/>
            <w:tcMar>
              <w:top w:w="60" w:type="dxa"/>
              <w:bottom w:w="60" w:type="dxa"/>
              <w:left w:w="100" w:type="dxa"/>
              <w:right w:w="100" w:type="dxa"/>
            </w:tcMar>
          </w:tcPr>
          <w:p>
            <w:r>
              <w:rPr>
                <w:rFonts w:ascii="Arial" w:hAnsi="Arial"/>
                <w:color w:val="1C1917"/>
                <w:sz w:val="16"/>
              </w:rPr>
              <w:t>品管測試工程師 (QA/Testing)</w:t>
            </w:r>
          </w:p>
        </w:tc>
        <w:tc>
          <w:tcPr>
            <w:tcW w:type="dxa" w:w="3456"/>
            <w:shd w:fill="FAFAF9"/>
            <w:tcMar>
              <w:top w:w="60" w:type="dxa"/>
              <w:bottom w:w="60" w:type="dxa"/>
              <w:left w:w="100" w:type="dxa"/>
              <w:right w:w="100" w:type="dxa"/>
            </w:tcMar>
          </w:tcPr>
          <w:p>
            <w:r>
              <w:rPr>
                <w:rFonts w:ascii="Arial" w:hAnsi="Arial"/>
                <w:color w:val="1C1917"/>
                <w:sz w:val="16"/>
              </w:rPr>
              <w:t>xUnit, 契約測試, Postman 自動化, 門禁防呆</w:t>
            </w:r>
          </w:p>
        </w:tc>
        <w:tc>
          <w:tcPr>
            <w:tcW w:type="dxa" w:w="2016"/>
            <w:shd w:fill="FAFAF9"/>
            <w:tcMar>
              <w:top w:w="60" w:type="dxa"/>
              <w:bottom w:w="60" w:type="dxa"/>
              <w:left w:w="100" w:type="dxa"/>
              <w:right w:w="100" w:type="dxa"/>
            </w:tcMar>
          </w:tcPr>
          <w:p>
            <w:r>
              <w:rPr>
                <w:rFonts w:ascii="Arial" w:hAnsi="Arial"/>
                <w:color w:val="1C1917"/>
                <w:sz w:val="16"/>
              </w:rPr>
              <w:t>[R12-QA-01] ~ [R12-QA-10]</w:t>
            </w:r>
          </w:p>
        </w:tc>
      </w:tr>
      <w:tr>
        <w:tc>
          <w:tcPr>
            <w:tcW w:type="dxa" w:w="1728"/>
            <w:shd w:fill="FFFFFF"/>
            <w:tcMar>
              <w:top w:w="60" w:type="dxa"/>
              <w:bottom w:w="60" w:type="dxa"/>
              <w:left w:w="100" w:type="dxa"/>
              <w:right w:w="100" w:type="dxa"/>
            </w:tcMar>
          </w:tcPr>
          <w:p>
            <w:r>
              <w:rPr>
                <w:rFonts w:ascii="Arial" w:hAnsi="Arial"/>
                <w:color w:val="1C1917"/>
                <w:sz w:val="16"/>
              </w:rPr>
              <w:t>R13-PM</w:t>
            </w:r>
          </w:p>
        </w:tc>
        <w:tc>
          <w:tcPr>
            <w:tcW w:type="dxa" w:w="3168"/>
            <w:shd w:fill="FFFFFF"/>
            <w:tcMar>
              <w:top w:w="60" w:type="dxa"/>
              <w:bottom w:w="60" w:type="dxa"/>
              <w:left w:w="100" w:type="dxa"/>
              <w:right w:w="100" w:type="dxa"/>
            </w:tcMar>
          </w:tcPr>
          <w:p>
            <w:r>
              <w:rPr>
                <w:rFonts w:ascii="Arial" w:hAnsi="Arial"/>
                <w:color w:val="1C1917"/>
                <w:sz w:val="16"/>
              </w:rPr>
              <w:t>專案經理 (Project Manager)</w:t>
            </w:r>
          </w:p>
        </w:tc>
        <w:tc>
          <w:tcPr>
            <w:tcW w:type="dxa" w:w="3456"/>
            <w:shd w:fill="FFFFFF"/>
            <w:tcMar>
              <w:top w:w="60" w:type="dxa"/>
              <w:bottom w:w="60" w:type="dxa"/>
              <w:left w:w="100" w:type="dxa"/>
              <w:right w:w="100" w:type="dxa"/>
            </w:tcMar>
          </w:tcPr>
          <w:p>
            <w:r>
              <w:rPr>
                <w:rFonts w:ascii="Arial" w:hAnsi="Arial"/>
                <w:color w:val="1C1917"/>
                <w:sz w:val="16"/>
              </w:rPr>
              <w:t>Notion 敏捷甘特圖, SCM 治理, Review Matrix</w:t>
            </w:r>
          </w:p>
        </w:tc>
        <w:tc>
          <w:tcPr>
            <w:tcW w:type="dxa" w:w="2016"/>
            <w:shd w:fill="FFFFFF"/>
            <w:tcMar>
              <w:top w:w="60" w:type="dxa"/>
              <w:bottom w:w="60" w:type="dxa"/>
              <w:left w:w="100" w:type="dxa"/>
              <w:right w:w="100" w:type="dxa"/>
            </w:tcMar>
          </w:tcPr>
          <w:p>
            <w:r>
              <w:rPr>
                <w:rFonts w:ascii="Arial" w:hAnsi="Arial"/>
                <w:color w:val="1C1917"/>
                <w:sz w:val="16"/>
              </w:rPr>
              <w:t>[R13-PM-01] ~ [R13-PM-10]</w:t>
            </w:r>
          </w:p>
        </w:tc>
      </w:tr>
    </w:tbl>
    <w:p>
      <w:pPr>
        <w:spacing w:after="80"/>
      </w:pPr>
    </w:p>
    <w:p>
      <w:r>
        <w:br w:type="page"/>
      </w:r>
    </w:p>
    <w:p>
      <w:pPr>
        <w:spacing w:before="160" w:after="80"/>
      </w:pPr>
      <w:r>
        <w:rPr>
          <w:rFonts w:ascii="Arial" w:hAnsi="Arial"/>
          <w:b/>
          <w:color w:val="D97706"/>
          <w:sz w:val="22"/>
        </w:rPr>
        <w:t xml:space="preserve">【附錄 E】 </w:t>
      </w:r>
      <w:r>
        <w:rPr>
          <w:rFonts w:ascii="Arial" w:hAnsi="Arial"/>
          <w:b/>
          <w:color w:val="A83212"/>
          <w:sz w:val="30"/>
        </w:rPr>
        <w:t>第一階段 17 個顧問服務日工時與工作產出清冊</w:t>
      </w:r>
    </w:p>
    <w:p>
      <w:pPr>
        <w:spacing w:before="0" w:after="200"/>
      </w:pPr>
      <w:r>
        <w:rPr>
          <w:rFonts w:ascii="Arial" w:hAnsi="Arial"/>
          <w:i/>
          <w:color w:val="78716C"/>
          <w:sz w:val="19"/>
        </w:rPr>
        <w:t>Appendix E · Timesheet &amp; Delivery Inventory of the 17 Consulting Service Days</w:t>
      </w:r>
    </w:p>
    <w:p>
      <w:pPr>
        <w:spacing w:before="0" w:after="120" w:line="276" w:lineRule="auto"/>
      </w:pPr>
      <w:r>
        <w:rPr>
          <w:rFonts w:ascii="Arial" w:hAnsi="Arial"/>
          <w:color w:val="1C1917"/>
          <w:sz w:val="19"/>
        </w:rPr>
        <w:t>本附錄記錄執行負責人 Howard Liao Ph.D. 於第一階段履約期間實際投入之 17 個顧問服務日明細：</w:t>
      </w:r>
    </w:p>
    <w:tbl>
      <w:tblPr>
        <w:tblW w:type="auto" w:w="0"/>
        <w:jc w:val="center"/>
        <w:tblLook w:firstColumn="1" w:firstRow="1" w:lastColumn="0" w:lastRow="0" w:noHBand="0" w:noVBand="1" w:val="04A0"/>
      </w:tblPr>
      <w:tblGrid>
        <w:gridCol w:w="2412"/>
        <w:gridCol w:w="2412"/>
        <w:gridCol w:w="2412"/>
        <w:gridCol w:w="2412"/>
      </w:tblGrid>
      <w:tr>
        <w:tc>
          <w:tcPr>
            <w:tcW w:type="dxa" w:w="1440"/>
            <w:shd w:fill="F5EFEB"/>
            <w:tcMar>
              <w:top w:w="80" w:type="dxa"/>
              <w:bottom w:w="80" w:type="dxa"/>
              <w:left w:w="100" w:type="dxa"/>
              <w:right w:w="100" w:type="dxa"/>
            </w:tcMar>
          </w:tcPr>
          <w:p>
            <w:r>
              <w:rPr>
                <w:rFonts w:ascii="Arial" w:hAnsi="Arial"/>
                <w:b/>
                <w:color w:val="A83212"/>
                <w:sz w:val="17"/>
              </w:rPr>
              <w:t>服務日序號</w:t>
            </w:r>
          </w:p>
        </w:tc>
        <w:tc>
          <w:tcPr>
            <w:tcW w:type="dxa" w:w="1728"/>
            <w:shd w:fill="F5EFEB"/>
            <w:tcMar>
              <w:top w:w="80" w:type="dxa"/>
              <w:bottom w:w="80" w:type="dxa"/>
              <w:left w:w="100" w:type="dxa"/>
              <w:right w:w="100" w:type="dxa"/>
            </w:tcMar>
          </w:tcPr>
          <w:p>
            <w:r>
              <w:rPr>
                <w:rFonts w:ascii="Arial" w:hAnsi="Arial"/>
                <w:b/>
                <w:color w:val="A83212"/>
                <w:sz w:val="17"/>
              </w:rPr>
              <w:t>實際履約日期</w:t>
            </w:r>
          </w:p>
        </w:tc>
        <w:tc>
          <w:tcPr>
            <w:tcW w:type="dxa" w:w="5184"/>
            <w:shd w:fill="F5EFEB"/>
            <w:tcMar>
              <w:top w:w="80" w:type="dxa"/>
              <w:bottom w:w="80" w:type="dxa"/>
              <w:left w:w="100" w:type="dxa"/>
              <w:right w:w="100" w:type="dxa"/>
            </w:tcMar>
          </w:tcPr>
          <w:p>
            <w:r>
              <w:rPr>
                <w:rFonts w:ascii="Arial" w:hAnsi="Arial"/>
                <w:b/>
                <w:color w:val="A83212"/>
                <w:sz w:val="17"/>
              </w:rPr>
              <w:t>專題主題與現場指導內容</w:t>
            </w:r>
          </w:p>
        </w:tc>
        <w:tc>
          <w:tcPr>
            <w:tcW w:type="dxa" w:w="2016"/>
            <w:shd w:fill="F5EFEB"/>
            <w:tcMar>
              <w:top w:w="80" w:type="dxa"/>
              <w:bottom w:w="80" w:type="dxa"/>
              <w:left w:w="100" w:type="dxa"/>
              <w:right w:w="100" w:type="dxa"/>
            </w:tcMar>
          </w:tcPr>
          <w:p>
            <w:r>
              <w:rPr>
                <w:rFonts w:ascii="Arial" w:hAnsi="Arial"/>
                <w:b/>
                <w:color w:val="A83212"/>
                <w:sz w:val="17"/>
              </w:rPr>
              <w:t>核定工作成果</w:t>
            </w:r>
          </w:p>
        </w:tc>
      </w:tr>
      <w:tr>
        <w:tc>
          <w:tcPr>
            <w:tcW w:type="dxa" w:w="1440"/>
            <w:shd w:fill="FFFFFF"/>
            <w:tcMar>
              <w:top w:w="60" w:type="dxa"/>
              <w:bottom w:w="60" w:type="dxa"/>
              <w:left w:w="100" w:type="dxa"/>
              <w:right w:w="100" w:type="dxa"/>
            </w:tcMar>
          </w:tcPr>
          <w:p>
            <w:r>
              <w:rPr>
                <w:rFonts w:ascii="Arial" w:hAnsi="Arial"/>
                <w:color w:val="1C1917"/>
                <w:sz w:val="16"/>
              </w:rPr>
              <w:t>Day 01</w:t>
            </w:r>
          </w:p>
        </w:tc>
        <w:tc>
          <w:tcPr>
            <w:tcW w:type="dxa" w:w="1728"/>
            <w:shd w:fill="FFFFFF"/>
            <w:tcMar>
              <w:top w:w="60" w:type="dxa"/>
              <w:bottom w:w="60" w:type="dxa"/>
              <w:left w:w="100" w:type="dxa"/>
              <w:right w:w="100" w:type="dxa"/>
            </w:tcMar>
          </w:tcPr>
          <w:p>
            <w:r>
              <w:rPr>
                <w:rFonts w:ascii="Arial" w:hAnsi="Arial"/>
                <w:color w:val="1C1917"/>
                <w:sz w:val="16"/>
              </w:rPr>
              <w:t>2026/11/02</w:t>
            </w:r>
          </w:p>
        </w:tc>
        <w:tc>
          <w:tcPr>
            <w:tcW w:type="dxa" w:w="5184"/>
            <w:shd w:fill="FFFFFF"/>
            <w:tcMar>
              <w:top w:w="60" w:type="dxa"/>
              <w:bottom w:w="60" w:type="dxa"/>
              <w:left w:w="100" w:type="dxa"/>
              <w:right w:w="100" w:type="dxa"/>
            </w:tcMar>
          </w:tcPr>
          <w:p>
            <w:r>
              <w:rPr>
                <w:rFonts w:ascii="Arial" w:hAnsi="Arial"/>
                <w:color w:val="1C1917"/>
                <w:sz w:val="16"/>
              </w:rPr>
              <w:t>專案啟動大會、WBS 甘特圖基準、16 人組織現況摸底</w:t>
            </w:r>
          </w:p>
        </w:tc>
        <w:tc>
          <w:tcPr>
            <w:tcW w:type="dxa" w:w="2016"/>
            <w:shd w:fill="FFFFFF"/>
            <w:tcMar>
              <w:top w:w="60" w:type="dxa"/>
              <w:bottom w:w="60" w:type="dxa"/>
              <w:left w:w="100" w:type="dxa"/>
              <w:right w:w="100" w:type="dxa"/>
            </w:tcMar>
          </w:tcPr>
          <w:p>
            <w:r>
              <w:rPr>
                <w:rFonts w:ascii="Arial" w:hAnsi="Arial"/>
                <w:color w:val="1C1917"/>
                <w:sz w:val="16"/>
              </w:rPr>
              <w:t>專案章程簽核</w:t>
            </w:r>
          </w:p>
        </w:tc>
      </w:tr>
      <w:tr>
        <w:tc>
          <w:tcPr>
            <w:tcW w:type="dxa" w:w="1440"/>
            <w:shd w:fill="FAFAF9"/>
            <w:tcMar>
              <w:top w:w="60" w:type="dxa"/>
              <w:bottom w:w="60" w:type="dxa"/>
              <w:left w:w="100" w:type="dxa"/>
              <w:right w:w="100" w:type="dxa"/>
            </w:tcMar>
          </w:tcPr>
          <w:p>
            <w:r>
              <w:rPr>
                <w:rFonts w:ascii="Arial" w:hAnsi="Arial"/>
                <w:color w:val="1C1917"/>
                <w:sz w:val="16"/>
              </w:rPr>
              <w:t>Day 02</w:t>
            </w:r>
          </w:p>
        </w:tc>
        <w:tc>
          <w:tcPr>
            <w:tcW w:type="dxa" w:w="1728"/>
            <w:shd w:fill="FAFAF9"/>
            <w:tcMar>
              <w:top w:w="60" w:type="dxa"/>
              <w:bottom w:w="60" w:type="dxa"/>
              <w:left w:w="100" w:type="dxa"/>
              <w:right w:w="100" w:type="dxa"/>
            </w:tcMar>
          </w:tcPr>
          <w:p>
            <w:r>
              <w:rPr>
                <w:rFonts w:ascii="Arial" w:hAnsi="Arial"/>
                <w:color w:val="1C1917"/>
                <w:sz w:val="16"/>
              </w:rPr>
              <w:t>2026/11/09</w:t>
            </w:r>
          </w:p>
        </w:tc>
        <w:tc>
          <w:tcPr>
            <w:tcW w:type="dxa" w:w="5184"/>
            <w:shd w:fill="FAFAF9"/>
            <w:tcMar>
              <w:top w:w="60" w:type="dxa"/>
              <w:bottom w:w="60" w:type="dxa"/>
              <w:left w:w="100" w:type="dxa"/>
              <w:right w:w="100" w:type="dxa"/>
            </w:tcMar>
          </w:tcPr>
          <w:p>
            <w:r>
              <w:rPr>
                <w:rFonts w:ascii="Arial" w:hAnsi="Arial"/>
                <w:color w:val="1C1917"/>
                <w:sz w:val="16"/>
              </w:rPr>
              <w:t>5 大核心系統代碼走查、CQS 燈塔確立、技術債分級</w:t>
            </w:r>
          </w:p>
        </w:tc>
        <w:tc>
          <w:tcPr>
            <w:tcW w:type="dxa" w:w="2016"/>
            <w:shd w:fill="FAFAF9"/>
            <w:tcMar>
              <w:top w:w="60" w:type="dxa"/>
              <w:bottom w:w="60" w:type="dxa"/>
              <w:left w:w="100" w:type="dxa"/>
              <w:right w:w="100" w:type="dxa"/>
            </w:tcMar>
          </w:tcPr>
          <w:p>
            <w:r>
              <w:rPr>
                <w:rFonts w:ascii="Arial" w:hAnsi="Arial"/>
                <w:color w:val="1C1917"/>
                <w:sz w:val="16"/>
              </w:rPr>
              <w:t>體檢報告出具</w:t>
            </w:r>
          </w:p>
        </w:tc>
      </w:tr>
      <w:tr>
        <w:tc>
          <w:tcPr>
            <w:tcW w:type="dxa" w:w="1440"/>
            <w:shd w:fill="FFFFFF"/>
            <w:tcMar>
              <w:top w:w="60" w:type="dxa"/>
              <w:bottom w:w="60" w:type="dxa"/>
              <w:left w:w="100" w:type="dxa"/>
              <w:right w:w="100" w:type="dxa"/>
            </w:tcMar>
          </w:tcPr>
          <w:p>
            <w:r>
              <w:rPr>
                <w:rFonts w:ascii="Arial" w:hAnsi="Arial"/>
                <w:color w:val="1C1917"/>
                <w:sz w:val="16"/>
              </w:rPr>
              <w:t>Day 03</w:t>
            </w:r>
          </w:p>
        </w:tc>
        <w:tc>
          <w:tcPr>
            <w:tcW w:type="dxa" w:w="1728"/>
            <w:shd w:fill="FFFFFF"/>
            <w:tcMar>
              <w:top w:w="60" w:type="dxa"/>
              <w:bottom w:w="60" w:type="dxa"/>
              <w:left w:w="100" w:type="dxa"/>
              <w:right w:w="100" w:type="dxa"/>
            </w:tcMar>
          </w:tcPr>
          <w:p>
            <w:r>
              <w:rPr>
                <w:rFonts w:ascii="Arial" w:hAnsi="Arial"/>
                <w:color w:val="1C1917"/>
                <w:sz w:val="16"/>
              </w:rPr>
              <w:t>2026/11/16</w:t>
            </w:r>
          </w:p>
        </w:tc>
        <w:tc>
          <w:tcPr>
            <w:tcW w:type="dxa" w:w="5184"/>
            <w:shd w:fill="FFFFFF"/>
            <w:tcMar>
              <w:top w:w="60" w:type="dxa"/>
              <w:bottom w:w="60" w:type="dxa"/>
              <w:left w:w="100" w:type="dxa"/>
              <w:right w:w="100" w:type="dxa"/>
            </w:tcMar>
          </w:tcPr>
          <w:p>
            <w:r>
              <w:rPr>
                <w:rFonts w:ascii="Arial" w:hAnsi="Arial"/>
                <w:color w:val="1C1917"/>
                <w:sz w:val="16"/>
              </w:rPr>
              <w:t>GitLab 遷移 SOP、main 分支鎖定、Notion 資料庫建置</w:t>
            </w:r>
          </w:p>
        </w:tc>
        <w:tc>
          <w:tcPr>
            <w:tcW w:type="dxa" w:w="2016"/>
            <w:shd w:fill="FFFFFF"/>
            <w:tcMar>
              <w:top w:w="60" w:type="dxa"/>
              <w:bottom w:w="60" w:type="dxa"/>
              <w:left w:w="100" w:type="dxa"/>
              <w:right w:w="100" w:type="dxa"/>
            </w:tcMar>
          </w:tcPr>
          <w:p>
            <w:r>
              <w:rPr>
                <w:rFonts w:ascii="Arial" w:hAnsi="Arial"/>
                <w:color w:val="1C1917"/>
                <w:sz w:val="16"/>
              </w:rPr>
              <w:t>SCM 規範發布</w:t>
            </w:r>
          </w:p>
        </w:tc>
      </w:tr>
      <w:tr>
        <w:tc>
          <w:tcPr>
            <w:tcW w:type="dxa" w:w="1440"/>
            <w:shd w:fill="FAFAF9"/>
            <w:tcMar>
              <w:top w:w="60" w:type="dxa"/>
              <w:bottom w:w="60" w:type="dxa"/>
              <w:left w:w="100" w:type="dxa"/>
              <w:right w:w="100" w:type="dxa"/>
            </w:tcMar>
          </w:tcPr>
          <w:p>
            <w:r>
              <w:rPr>
                <w:rFonts w:ascii="Arial" w:hAnsi="Arial"/>
                <w:color w:val="1C1917"/>
                <w:sz w:val="16"/>
              </w:rPr>
              <w:t>Day 04</w:t>
            </w:r>
          </w:p>
        </w:tc>
        <w:tc>
          <w:tcPr>
            <w:tcW w:type="dxa" w:w="1728"/>
            <w:shd w:fill="FAFAF9"/>
            <w:tcMar>
              <w:top w:w="60" w:type="dxa"/>
              <w:bottom w:w="60" w:type="dxa"/>
              <w:left w:w="100" w:type="dxa"/>
              <w:right w:w="100" w:type="dxa"/>
            </w:tcMar>
          </w:tcPr>
          <w:p>
            <w:r>
              <w:rPr>
                <w:rFonts w:ascii="Arial" w:hAnsi="Arial"/>
                <w:color w:val="1C1917"/>
                <w:sz w:val="16"/>
              </w:rPr>
              <w:t>2026/11/23</w:t>
            </w:r>
          </w:p>
        </w:tc>
        <w:tc>
          <w:tcPr>
            <w:tcW w:type="dxa" w:w="5184"/>
            <w:shd w:fill="FAFAF9"/>
            <w:tcMar>
              <w:top w:w="60" w:type="dxa"/>
              <w:bottom w:w="60" w:type="dxa"/>
              <w:left w:w="100" w:type="dxa"/>
              <w:right w:w="100" w:type="dxa"/>
            </w:tcMar>
          </w:tcPr>
          <w:p>
            <w:r>
              <w:rPr>
                <w:rFonts w:ascii="Arial" w:hAnsi="Arial"/>
                <w:color w:val="1C1917"/>
                <w:sz w:val="16"/>
              </w:rPr>
              <w:t>D365 F&amp;O 整合評估、微軟 2026-11-30 停用防禦 PoC</w:t>
            </w:r>
          </w:p>
        </w:tc>
        <w:tc>
          <w:tcPr>
            <w:tcW w:type="dxa" w:w="2016"/>
            <w:shd w:fill="FAFAF9"/>
            <w:tcMar>
              <w:top w:w="60" w:type="dxa"/>
              <w:bottom w:w="60" w:type="dxa"/>
              <w:left w:w="100" w:type="dxa"/>
              <w:right w:w="100" w:type="dxa"/>
            </w:tcMar>
          </w:tcPr>
          <w:p>
            <w:r>
              <w:rPr>
                <w:rFonts w:ascii="Arial" w:hAnsi="Arial"/>
                <w:color w:val="1C1917"/>
                <w:sz w:val="16"/>
              </w:rPr>
              <w:t>Synapse Link 驗證</w:t>
            </w:r>
          </w:p>
        </w:tc>
      </w:tr>
      <w:tr>
        <w:tc>
          <w:tcPr>
            <w:tcW w:type="dxa" w:w="1440"/>
            <w:shd w:fill="FFFFFF"/>
            <w:tcMar>
              <w:top w:w="60" w:type="dxa"/>
              <w:bottom w:w="60" w:type="dxa"/>
              <w:left w:w="100" w:type="dxa"/>
              <w:right w:w="100" w:type="dxa"/>
            </w:tcMar>
          </w:tcPr>
          <w:p>
            <w:r>
              <w:rPr>
                <w:rFonts w:ascii="Arial" w:hAnsi="Arial"/>
                <w:color w:val="1C1917"/>
                <w:sz w:val="16"/>
              </w:rPr>
              <w:t>Day 05</w:t>
            </w:r>
          </w:p>
        </w:tc>
        <w:tc>
          <w:tcPr>
            <w:tcW w:type="dxa" w:w="1728"/>
            <w:shd w:fill="FFFFFF"/>
            <w:tcMar>
              <w:top w:w="60" w:type="dxa"/>
              <w:bottom w:w="60" w:type="dxa"/>
              <w:left w:w="100" w:type="dxa"/>
              <w:right w:w="100" w:type="dxa"/>
            </w:tcMar>
          </w:tcPr>
          <w:p>
            <w:r>
              <w:rPr>
                <w:rFonts w:ascii="Arial" w:hAnsi="Arial"/>
                <w:color w:val="1C1917"/>
                <w:sz w:val="16"/>
              </w:rPr>
              <w:t>2026/11/30</w:t>
            </w:r>
          </w:p>
        </w:tc>
        <w:tc>
          <w:tcPr>
            <w:tcW w:type="dxa" w:w="5184"/>
            <w:shd w:fill="FFFFFF"/>
            <w:tcMar>
              <w:top w:w="60" w:type="dxa"/>
              <w:bottom w:w="60" w:type="dxa"/>
              <w:left w:w="100" w:type="dxa"/>
              <w:right w:w="100" w:type="dxa"/>
            </w:tcMar>
          </w:tcPr>
          <w:p>
            <w:r>
              <w:rPr>
                <w:rFonts w:ascii="Arial" w:hAnsi="Arial"/>
                <w:color w:val="1C1917"/>
                <w:sz w:val="16"/>
              </w:rPr>
              <w:t>海外三廠 ASUS GX10 選型、48~72h 離線自律架構定案</w:t>
            </w:r>
          </w:p>
        </w:tc>
        <w:tc>
          <w:tcPr>
            <w:tcW w:type="dxa" w:w="2016"/>
            <w:shd w:fill="FFFFFF"/>
            <w:tcMar>
              <w:top w:w="60" w:type="dxa"/>
              <w:bottom w:w="60" w:type="dxa"/>
              <w:left w:w="100" w:type="dxa"/>
              <w:right w:w="100" w:type="dxa"/>
            </w:tcMar>
          </w:tcPr>
          <w:p>
            <w:r>
              <w:rPr>
                <w:rFonts w:ascii="Arial" w:hAnsi="Arial"/>
                <w:color w:val="1C1917"/>
                <w:sz w:val="16"/>
              </w:rPr>
              <w:t>邊緣規範核定</w:t>
            </w:r>
          </w:p>
        </w:tc>
      </w:tr>
      <w:tr>
        <w:tc>
          <w:tcPr>
            <w:tcW w:type="dxa" w:w="1440"/>
            <w:shd w:fill="FAFAF9"/>
            <w:tcMar>
              <w:top w:w="60" w:type="dxa"/>
              <w:bottom w:w="60" w:type="dxa"/>
              <w:left w:w="100" w:type="dxa"/>
              <w:right w:w="100" w:type="dxa"/>
            </w:tcMar>
          </w:tcPr>
          <w:p>
            <w:r>
              <w:rPr>
                <w:rFonts w:ascii="Arial" w:hAnsi="Arial"/>
                <w:color w:val="1C1917"/>
                <w:sz w:val="16"/>
              </w:rPr>
              <w:t>Day 06</w:t>
            </w:r>
          </w:p>
        </w:tc>
        <w:tc>
          <w:tcPr>
            <w:tcW w:type="dxa" w:w="1728"/>
            <w:shd w:fill="FAFAF9"/>
            <w:tcMar>
              <w:top w:w="60" w:type="dxa"/>
              <w:bottom w:w="60" w:type="dxa"/>
              <w:left w:w="100" w:type="dxa"/>
              <w:right w:w="100" w:type="dxa"/>
            </w:tcMar>
          </w:tcPr>
          <w:p>
            <w:r>
              <w:rPr>
                <w:rFonts w:ascii="Arial" w:hAnsi="Arial"/>
                <w:color w:val="1C1917"/>
                <w:sz w:val="16"/>
              </w:rPr>
              <w:t>2026/12/07</w:t>
            </w:r>
          </w:p>
        </w:tc>
        <w:tc>
          <w:tcPr>
            <w:tcW w:type="dxa" w:w="5184"/>
            <w:shd w:fill="FAFAF9"/>
            <w:tcMar>
              <w:top w:w="60" w:type="dxa"/>
              <w:bottom w:w="60" w:type="dxa"/>
              <w:left w:w="100" w:type="dxa"/>
              <w:right w:w="100" w:type="dxa"/>
            </w:tcMar>
          </w:tcPr>
          <w:p>
            <w:r>
              <w:rPr>
                <w:rFonts w:ascii="Arial" w:hAnsi="Arial"/>
                <w:color w:val="1C1917"/>
                <w:sz w:val="16"/>
              </w:rPr>
              <w:t>中期審查 (M1)、機房 85 萬 25G 網路升級、DAC 降本</w:t>
            </w:r>
          </w:p>
        </w:tc>
        <w:tc>
          <w:tcPr>
            <w:tcW w:type="dxa" w:w="2016"/>
            <w:shd w:fill="FAFAF9"/>
            <w:tcMar>
              <w:top w:w="60" w:type="dxa"/>
              <w:bottom w:w="60" w:type="dxa"/>
              <w:left w:w="100" w:type="dxa"/>
              <w:right w:w="100" w:type="dxa"/>
            </w:tcMar>
          </w:tcPr>
          <w:p>
            <w:r>
              <w:rPr>
                <w:rFonts w:ascii="Arial" w:hAnsi="Arial"/>
                <w:color w:val="1C1917"/>
                <w:sz w:val="16"/>
              </w:rPr>
              <w:t>★ M1 驗收通過</w:t>
            </w:r>
          </w:p>
        </w:tc>
      </w:tr>
      <w:tr>
        <w:tc>
          <w:tcPr>
            <w:tcW w:type="dxa" w:w="1440"/>
            <w:shd w:fill="FFFFFF"/>
            <w:tcMar>
              <w:top w:w="60" w:type="dxa"/>
              <w:bottom w:w="60" w:type="dxa"/>
              <w:left w:w="100" w:type="dxa"/>
              <w:right w:w="100" w:type="dxa"/>
            </w:tcMar>
          </w:tcPr>
          <w:p>
            <w:r>
              <w:rPr>
                <w:rFonts w:ascii="Arial" w:hAnsi="Arial"/>
                <w:color w:val="1C1917"/>
                <w:sz w:val="16"/>
              </w:rPr>
              <w:t>Day 07</w:t>
            </w:r>
          </w:p>
        </w:tc>
        <w:tc>
          <w:tcPr>
            <w:tcW w:type="dxa" w:w="1728"/>
            <w:shd w:fill="FFFFFF"/>
            <w:tcMar>
              <w:top w:w="60" w:type="dxa"/>
              <w:bottom w:w="60" w:type="dxa"/>
              <w:left w:w="100" w:type="dxa"/>
              <w:right w:w="100" w:type="dxa"/>
            </w:tcMar>
          </w:tcPr>
          <w:p>
            <w:r>
              <w:rPr>
                <w:rFonts w:ascii="Arial" w:hAnsi="Arial"/>
                <w:color w:val="1C1917"/>
                <w:sz w:val="16"/>
              </w:rPr>
              <w:t>2026/12/14</w:t>
            </w:r>
          </w:p>
        </w:tc>
        <w:tc>
          <w:tcPr>
            <w:tcW w:type="dxa" w:w="5184"/>
            <w:shd w:fill="FFFFFF"/>
            <w:tcMar>
              <w:top w:w="60" w:type="dxa"/>
              <w:bottom w:w="60" w:type="dxa"/>
              <w:left w:w="100" w:type="dxa"/>
              <w:right w:w="100" w:type="dxa"/>
            </w:tcMar>
          </w:tcPr>
          <w:p>
            <w:r>
              <w:rPr>
                <w:rFonts w:ascii="Arial" w:hAnsi="Arial"/>
                <w:color w:val="1C1917"/>
                <w:sz w:val="16"/>
              </w:rPr>
              <w:t>成衣訂單款式結構圖去識別化、AWS 算力年費 38 萬核算</w:t>
            </w:r>
          </w:p>
        </w:tc>
        <w:tc>
          <w:tcPr>
            <w:tcW w:type="dxa" w:w="2016"/>
            <w:shd w:fill="FFFFFF"/>
            <w:tcMar>
              <w:top w:w="60" w:type="dxa"/>
              <w:bottom w:w="60" w:type="dxa"/>
              <w:left w:w="100" w:type="dxa"/>
              <w:right w:w="100" w:type="dxa"/>
            </w:tcMar>
          </w:tcPr>
          <w:p>
            <w:r>
              <w:rPr>
                <w:rFonts w:ascii="Arial" w:hAnsi="Arial"/>
                <w:color w:val="1C1917"/>
                <w:sz w:val="16"/>
              </w:rPr>
              <w:t>AI 預算收斂</w:t>
            </w:r>
          </w:p>
        </w:tc>
      </w:tr>
      <w:tr>
        <w:tc>
          <w:tcPr>
            <w:tcW w:type="dxa" w:w="1440"/>
            <w:shd w:fill="FAFAF9"/>
            <w:tcMar>
              <w:top w:w="60" w:type="dxa"/>
              <w:bottom w:w="60" w:type="dxa"/>
              <w:left w:w="100" w:type="dxa"/>
              <w:right w:w="100" w:type="dxa"/>
            </w:tcMar>
          </w:tcPr>
          <w:p>
            <w:r>
              <w:rPr>
                <w:rFonts w:ascii="Arial" w:hAnsi="Arial"/>
                <w:color w:val="1C1917"/>
                <w:sz w:val="16"/>
              </w:rPr>
              <w:t>Day 08</w:t>
            </w:r>
          </w:p>
        </w:tc>
        <w:tc>
          <w:tcPr>
            <w:tcW w:type="dxa" w:w="1728"/>
            <w:shd w:fill="FAFAF9"/>
            <w:tcMar>
              <w:top w:w="60" w:type="dxa"/>
              <w:bottom w:w="60" w:type="dxa"/>
              <w:left w:w="100" w:type="dxa"/>
              <w:right w:w="100" w:type="dxa"/>
            </w:tcMar>
          </w:tcPr>
          <w:p>
            <w:r>
              <w:rPr>
                <w:rFonts w:ascii="Arial" w:hAnsi="Arial"/>
                <w:color w:val="1C1917"/>
                <w:sz w:val="16"/>
              </w:rPr>
              <w:t>2026/12/21</w:t>
            </w:r>
          </w:p>
        </w:tc>
        <w:tc>
          <w:tcPr>
            <w:tcW w:type="dxa" w:w="5184"/>
            <w:shd w:fill="FAFAF9"/>
            <w:tcMar>
              <w:top w:w="60" w:type="dxa"/>
              <w:bottom w:w="60" w:type="dxa"/>
              <w:left w:w="100" w:type="dxa"/>
              <w:right w:w="100" w:type="dxa"/>
            </w:tcMar>
          </w:tcPr>
          <w:p>
            <w:r>
              <w:rPr>
                <w:rFonts w:ascii="Arial" w:hAnsi="Arial"/>
                <w:color w:val="1C1917"/>
                <w:sz w:val="16"/>
              </w:rPr>
              <w:t>Gartner 2026 研讀、雙層語意層設計、20 大指標公式</w:t>
            </w:r>
          </w:p>
        </w:tc>
        <w:tc>
          <w:tcPr>
            <w:tcW w:type="dxa" w:w="2016"/>
            <w:shd w:fill="FAFAF9"/>
            <w:tcMar>
              <w:top w:w="60" w:type="dxa"/>
              <w:bottom w:w="60" w:type="dxa"/>
              <w:left w:w="100" w:type="dxa"/>
              <w:right w:w="100" w:type="dxa"/>
            </w:tcMar>
          </w:tcPr>
          <w:p>
            <w:r>
              <w:rPr>
                <w:rFonts w:ascii="Arial" w:hAnsi="Arial"/>
                <w:color w:val="1C1917"/>
                <w:sz w:val="16"/>
              </w:rPr>
              <w:t>指標庫發布</w:t>
            </w:r>
          </w:p>
        </w:tc>
      </w:tr>
      <w:tr>
        <w:tc>
          <w:tcPr>
            <w:tcW w:type="dxa" w:w="1440"/>
            <w:shd w:fill="FFFFFF"/>
            <w:tcMar>
              <w:top w:w="60" w:type="dxa"/>
              <w:bottom w:w="60" w:type="dxa"/>
              <w:left w:w="100" w:type="dxa"/>
              <w:right w:w="100" w:type="dxa"/>
            </w:tcMar>
          </w:tcPr>
          <w:p>
            <w:r>
              <w:rPr>
                <w:rFonts w:ascii="Arial" w:hAnsi="Arial"/>
                <w:color w:val="1C1917"/>
                <w:sz w:val="16"/>
              </w:rPr>
              <w:t>Day 09</w:t>
            </w:r>
          </w:p>
        </w:tc>
        <w:tc>
          <w:tcPr>
            <w:tcW w:type="dxa" w:w="1728"/>
            <w:shd w:fill="FFFFFF"/>
            <w:tcMar>
              <w:top w:w="60" w:type="dxa"/>
              <w:bottom w:w="60" w:type="dxa"/>
              <w:left w:w="100" w:type="dxa"/>
              <w:right w:w="100" w:type="dxa"/>
            </w:tcMar>
          </w:tcPr>
          <w:p>
            <w:r>
              <w:rPr>
                <w:rFonts w:ascii="Arial" w:hAnsi="Arial"/>
                <w:color w:val="1C1917"/>
                <w:sz w:val="16"/>
              </w:rPr>
              <w:t>2026/12/28</w:t>
            </w:r>
          </w:p>
        </w:tc>
        <w:tc>
          <w:tcPr>
            <w:tcW w:type="dxa" w:w="5184"/>
            <w:shd w:fill="FFFFFF"/>
            <w:tcMar>
              <w:top w:w="60" w:type="dxa"/>
              <w:bottom w:w="60" w:type="dxa"/>
              <w:left w:w="100" w:type="dxa"/>
              <w:right w:w="100" w:type="dxa"/>
            </w:tcMar>
          </w:tcPr>
          <w:p>
            <w:r>
              <w:rPr>
                <w:rFonts w:ascii="Arial" w:hAnsi="Arial"/>
                <w:color w:val="1C1917"/>
                <w:sz w:val="16"/>
              </w:rPr>
              <w:t>CQS AI Coding 試行 Sprint 1、產出 35 道 xUnit 單元測試</w:t>
            </w:r>
          </w:p>
        </w:tc>
        <w:tc>
          <w:tcPr>
            <w:tcW w:type="dxa" w:w="2016"/>
            <w:shd w:fill="FFFFFF"/>
            <w:tcMar>
              <w:top w:w="60" w:type="dxa"/>
              <w:bottom w:w="60" w:type="dxa"/>
              <w:left w:w="100" w:type="dxa"/>
              <w:right w:w="100" w:type="dxa"/>
            </w:tcMar>
          </w:tcPr>
          <w:p>
            <w:r>
              <w:rPr>
                <w:rFonts w:ascii="Arial" w:hAnsi="Arial"/>
                <w:color w:val="1C1917"/>
                <w:sz w:val="16"/>
              </w:rPr>
              <w:t>效率提升 28%</w:t>
            </w:r>
          </w:p>
        </w:tc>
      </w:tr>
      <w:tr>
        <w:tc>
          <w:tcPr>
            <w:tcW w:type="dxa" w:w="1440"/>
            <w:shd w:fill="FAFAF9"/>
            <w:tcMar>
              <w:top w:w="60" w:type="dxa"/>
              <w:bottom w:w="60" w:type="dxa"/>
              <w:left w:w="100" w:type="dxa"/>
              <w:right w:w="100" w:type="dxa"/>
            </w:tcMar>
          </w:tcPr>
          <w:p>
            <w:r>
              <w:rPr>
                <w:rFonts w:ascii="Arial" w:hAnsi="Arial"/>
                <w:color w:val="1C1917"/>
                <w:sz w:val="16"/>
              </w:rPr>
              <w:t>Day 10</w:t>
            </w:r>
          </w:p>
        </w:tc>
        <w:tc>
          <w:tcPr>
            <w:tcW w:type="dxa" w:w="1728"/>
            <w:shd w:fill="FAFAF9"/>
            <w:tcMar>
              <w:top w:w="60" w:type="dxa"/>
              <w:bottom w:w="60" w:type="dxa"/>
              <w:left w:w="100" w:type="dxa"/>
              <w:right w:w="100" w:type="dxa"/>
            </w:tcMar>
          </w:tcPr>
          <w:p>
            <w:r>
              <w:rPr>
                <w:rFonts w:ascii="Arial" w:hAnsi="Arial"/>
                <w:color w:val="1C1917"/>
                <w:sz w:val="16"/>
              </w:rPr>
              <w:t>2027/01/04</w:t>
            </w:r>
          </w:p>
        </w:tc>
        <w:tc>
          <w:tcPr>
            <w:tcW w:type="dxa" w:w="5184"/>
            <w:shd w:fill="FAFAF9"/>
            <w:tcMar>
              <w:top w:w="60" w:type="dxa"/>
              <w:bottom w:w="60" w:type="dxa"/>
              <w:left w:w="100" w:type="dxa"/>
              <w:right w:w="100" w:type="dxa"/>
            </w:tcMar>
          </w:tcPr>
          <w:p>
            <w:r>
              <w:rPr>
                <w:rFonts w:ascii="Arial" w:hAnsi="Arial"/>
                <w:color w:val="1C1917"/>
                <w:sz w:val="16"/>
              </w:rPr>
              <w:t>4-Gate 策略模式實作、生管 AI Agent 原生串聯 Sprint 2</w:t>
            </w:r>
          </w:p>
        </w:tc>
        <w:tc>
          <w:tcPr>
            <w:tcW w:type="dxa" w:w="2016"/>
            <w:shd w:fill="FAFAF9"/>
            <w:tcMar>
              <w:top w:w="60" w:type="dxa"/>
              <w:bottom w:w="60" w:type="dxa"/>
              <w:left w:w="100" w:type="dxa"/>
              <w:right w:w="100" w:type="dxa"/>
            </w:tcMar>
          </w:tcPr>
          <w:p>
            <w:r>
              <w:rPr>
                <w:rFonts w:ascii="Arial" w:hAnsi="Arial"/>
                <w:color w:val="1C1917"/>
                <w:sz w:val="16"/>
              </w:rPr>
              <w:t>門禁聯鎖驗證</w:t>
            </w:r>
          </w:p>
        </w:tc>
      </w:tr>
      <w:tr>
        <w:tc>
          <w:tcPr>
            <w:tcW w:type="dxa" w:w="1440"/>
            <w:shd w:fill="FFFFFF"/>
            <w:tcMar>
              <w:top w:w="60" w:type="dxa"/>
              <w:bottom w:w="60" w:type="dxa"/>
              <w:left w:w="100" w:type="dxa"/>
              <w:right w:w="100" w:type="dxa"/>
            </w:tcMar>
          </w:tcPr>
          <w:p>
            <w:r>
              <w:rPr>
                <w:rFonts w:ascii="Arial" w:hAnsi="Arial"/>
                <w:color w:val="1C1917"/>
                <w:sz w:val="16"/>
              </w:rPr>
              <w:t>Day 11</w:t>
            </w:r>
          </w:p>
        </w:tc>
        <w:tc>
          <w:tcPr>
            <w:tcW w:type="dxa" w:w="1728"/>
            <w:shd w:fill="FFFFFF"/>
            <w:tcMar>
              <w:top w:w="60" w:type="dxa"/>
              <w:bottom w:w="60" w:type="dxa"/>
              <w:left w:w="100" w:type="dxa"/>
              <w:right w:w="100" w:type="dxa"/>
            </w:tcMar>
          </w:tcPr>
          <w:p>
            <w:r>
              <w:rPr>
                <w:rFonts w:ascii="Arial" w:hAnsi="Arial"/>
                <w:color w:val="1C1917"/>
                <w:sz w:val="16"/>
              </w:rPr>
              <w:t>2027/01/08</w:t>
            </w:r>
          </w:p>
        </w:tc>
        <w:tc>
          <w:tcPr>
            <w:tcW w:type="dxa" w:w="5184"/>
            <w:shd w:fill="FFFFFF"/>
            <w:tcMar>
              <w:top w:w="60" w:type="dxa"/>
              <w:bottom w:w="60" w:type="dxa"/>
              <w:left w:w="100" w:type="dxa"/>
              <w:right w:w="100" w:type="dxa"/>
            </w:tcMar>
          </w:tcPr>
          <w:p>
            <w:r>
              <w:rPr>
                <w:rFonts w:ascii="Arial" w:hAnsi="Arial"/>
                <w:color w:val="1C1917"/>
                <w:sz w:val="16"/>
              </w:rPr>
              <w:t>越南隆安示範旗艦廠 72 小時拔線實兵演習監督</w:t>
            </w:r>
          </w:p>
        </w:tc>
        <w:tc>
          <w:tcPr>
            <w:tcW w:type="dxa" w:w="2016"/>
            <w:shd w:fill="FFFFFF"/>
            <w:tcMar>
              <w:top w:w="60" w:type="dxa"/>
              <w:bottom w:w="60" w:type="dxa"/>
              <w:left w:w="100" w:type="dxa"/>
              <w:right w:w="100" w:type="dxa"/>
            </w:tcMar>
          </w:tcPr>
          <w:p>
            <w:r>
              <w:rPr>
                <w:rFonts w:ascii="Arial" w:hAnsi="Arial"/>
                <w:color w:val="1C1917"/>
                <w:sz w:val="16"/>
              </w:rPr>
              <w:t>演習圓滿成功</w:t>
            </w:r>
          </w:p>
        </w:tc>
      </w:tr>
      <w:tr>
        <w:tc>
          <w:tcPr>
            <w:tcW w:type="dxa" w:w="1440"/>
            <w:shd w:fill="FAFAF9"/>
            <w:tcMar>
              <w:top w:w="60" w:type="dxa"/>
              <w:bottom w:w="60" w:type="dxa"/>
              <w:left w:w="100" w:type="dxa"/>
              <w:right w:w="100" w:type="dxa"/>
            </w:tcMar>
          </w:tcPr>
          <w:p>
            <w:r>
              <w:rPr>
                <w:rFonts w:ascii="Arial" w:hAnsi="Arial"/>
                <w:color w:val="1C1917"/>
                <w:sz w:val="16"/>
              </w:rPr>
              <w:t>Day 12</w:t>
            </w:r>
          </w:p>
        </w:tc>
        <w:tc>
          <w:tcPr>
            <w:tcW w:type="dxa" w:w="1728"/>
            <w:shd w:fill="FAFAF9"/>
            <w:tcMar>
              <w:top w:w="60" w:type="dxa"/>
              <w:bottom w:w="60" w:type="dxa"/>
              <w:left w:w="100" w:type="dxa"/>
              <w:right w:w="100" w:type="dxa"/>
            </w:tcMar>
          </w:tcPr>
          <w:p>
            <w:r>
              <w:rPr>
                <w:rFonts w:ascii="Arial" w:hAnsi="Arial"/>
                <w:color w:val="1C1917"/>
                <w:sz w:val="16"/>
              </w:rPr>
              <w:t>2027/01/11</w:t>
            </w:r>
          </w:p>
        </w:tc>
        <w:tc>
          <w:tcPr>
            <w:tcW w:type="dxa" w:w="5184"/>
            <w:shd w:fill="FAFAF9"/>
            <w:tcMar>
              <w:top w:w="60" w:type="dxa"/>
              <w:bottom w:w="60" w:type="dxa"/>
              <w:left w:w="100" w:type="dxa"/>
              <w:right w:w="100" w:type="dxa"/>
            </w:tcMar>
          </w:tcPr>
          <w:p>
            <w:r>
              <w:rPr>
                <w:rFonts w:ascii="Arial" w:hAnsi="Arial"/>
                <w:color w:val="1C1917"/>
                <w:sz w:val="16"/>
              </w:rPr>
              <w:t>金管會 GenAI 六大原則落地、內控第 9 條之 1 專案查核</w:t>
            </w:r>
          </w:p>
        </w:tc>
        <w:tc>
          <w:tcPr>
            <w:tcW w:type="dxa" w:w="2016"/>
            <w:shd w:fill="FAFAF9"/>
            <w:tcMar>
              <w:top w:w="60" w:type="dxa"/>
              <w:bottom w:w="60" w:type="dxa"/>
              <w:left w:w="100" w:type="dxa"/>
              <w:right w:w="100" w:type="dxa"/>
            </w:tcMar>
          </w:tcPr>
          <w:p>
            <w:r>
              <w:rPr>
                <w:rFonts w:ascii="Arial" w:hAnsi="Arial"/>
                <w:color w:val="1C1917"/>
                <w:sz w:val="16"/>
              </w:rPr>
              <w:t>內控合規通過</w:t>
            </w:r>
          </w:p>
        </w:tc>
      </w:tr>
      <w:tr>
        <w:tc>
          <w:tcPr>
            <w:tcW w:type="dxa" w:w="1440"/>
            <w:shd w:fill="FFFFFF"/>
            <w:tcMar>
              <w:top w:w="60" w:type="dxa"/>
              <w:bottom w:w="60" w:type="dxa"/>
              <w:left w:w="100" w:type="dxa"/>
              <w:right w:w="100" w:type="dxa"/>
            </w:tcMar>
          </w:tcPr>
          <w:p>
            <w:r>
              <w:rPr>
                <w:rFonts w:ascii="Arial" w:hAnsi="Arial"/>
                <w:color w:val="1C1917"/>
                <w:sz w:val="16"/>
              </w:rPr>
              <w:t>Day 13</w:t>
            </w:r>
          </w:p>
        </w:tc>
        <w:tc>
          <w:tcPr>
            <w:tcW w:type="dxa" w:w="1728"/>
            <w:shd w:fill="FFFFFF"/>
            <w:tcMar>
              <w:top w:w="60" w:type="dxa"/>
              <w:bottom w:w="60" w:type="dxa"/>
              <w:left w:w="100" w:type="dxa"/>
              <w:right w:w="100" w:type="dxa"/>
            </w:tcMar>
          </w:tcPr>
          <w:p>
            <w:r>
              <w:rPr>
                <w:rFonts w:ascii="Arial" w:hAnsi="Arial"/>
                <w:color w:val="1C1917"/>
                <w:sz w:val="16"/>
              </w:rPr>
              <w:t>2027/01/15</w:t>
            </w:r>
          </w:p>
        </w:tc>
        <w:tc>
          <w:tcPr>
            <w:tcW w:type="dxa" w:w="5184"/>
            <w:shd w:fill="FFFFFF"/>
            <w:tcMar>
              <w:top w:w="60" w:type="dxa"/>
              <w:bottom w:w="60" w:type="dxa"/>
              <w:left w:w="100" w:type="dxa"/>
              <w:right w:w="100" w:type="dxa"/>
            </w:tcMar>
          </w:tcPr>
          <w:p>
            <w:r>
              <w:rPr>
                <w:rFonts w:ascii="Arial" w:hAnsi="Arial"/>
                <w:color w:val="1C1917"/>
                <w:sz w:val="16"/>
              </w:rPr>
              <w:t>品牌客戶智財無菌室隔離驗證、ZDR 協定設定核驗</w:t>
            </w:r>
          </w:p>
        </w:tc>
        <w:tc>
          <w:tcPr>
            <w:tcW w:type="dxa" w:w="2016"/>
            <w:shd w:fill="FFFFFF"/>
            <w:tcMar>
              <w:top w:w="60" w:type="dxa"/>
              <w:bottom w:w="60" w:type="dxa"/>
              <w:left w:w="100" w:type="dxa"/>
              <w:right w:w="100" w:type="dxa"/>
            </w:tcMar>
          </w:tcPr>
          <w:p>
            <w:r>
              <w:rPr>
                <w:rFonts w:ascii="Arial" w:hAnsi="Arial"/>
                <w:color w:val="1C1917"/>
                <w:sz w:val="16"/>
              </w:rPr>
              <w:t>智財安全核可</w:t>
            </w:r>
          </w:p>
        </w:tc>
      </w:tr>
      <w:tr>
        <w:tc>
          <w:tcPr>
            <w:tcW w:type="dxa" w:w="1440"/>
            <w:shd w:fill="FAFAF9"/>
            <w:tcMar>
              <w:top w:w="60" w:type="dxa"/>
              <w:bottom w:w="60" w:type="dxa"/>
              <w:left w:w="100" w:type="dxa"/>
              <w:right w:w="100" w:type="dxa"/>
            </w:tcMar>
          </w:tcPr>
          <w:p>
            <w:r>
              <w:rPr>
                <w:rFonts w:ascii="Arial" w:hAnsi="Arial"/>
                <w:color w:val="1C1917"/>
                <w:sz w:val="16"/>
              </w:rPr>
              <w:t>Day 14</w:t>
            </w:r>
          </w:p>
        </w:tc>
        <w:tc>
          <w:tcPr>
            <w:tcW w:type="dxa" w:w="1728"/>
            <w:shd w:fill="FAFAF9"/>
            <w:tcMar>
              <w:top w:w="60" w:type="dxa"/>
              <w:bottom w:w="60" w:type="dxa"/>
              <w:left w:w="100" w:type="dxa"/>
              <w:right w:w="100" w:type="dxa"/>
            </w:tcMar>
          </w:tcPr>
          <w:p>
            <w:r>
              <w:rPr>
                <w:rFonts w:ascii="Arial" w:hAnsi="Arial"/>
                <w:color w:val="1C1917"/>
                <w:sz w:val="16"/>
              </w:rPr>
              <w:t>2027/01/18</w:t>
            </w:r>
          </w:p>
        </w:tc>
        <w:tc>
          <w:tcPr>
            <w:tcW w:type="dxa" w:w="5184"/>
            <w:shd w:fill="FAFAF9"/>
            <w:tcMar>
              <w:top w:w="60" w:type="dxa"/>
              <w:bottom w:w="60" w:type="dxa"/>
              <w:left w:w="100" w:type="dxa"/>
              <w:right w:w="100" w:type="dxa"/>
            </w:tcMar>
          </w:tcPr>
          <w:p>
            <w:r>
              <w:rPr>
                <w:rFonts w:ascii="Arial" w:hAnsi="Arial"/>
                <w:color w:val="1C1917"/>
                <w:sz w:val="16"/>
              </w:rPr>
              <w:t>總部機房 25G 網卡與 Core Switch 模組施工細節驗證</w:t>
            </w:r>
          </w:p>
        </w:tc>
        <w:tc>
          <w:tcPr>
            <w:tcW w:type="dxa" w:w="2016"/>
            <w:shd w:fill="FAFAF9"/>
            <w:tcMar>
              <w:top w:w="60" w:type="dxa"/>
              <w:bottom w:w="60" w:type="dxa"/>
              <w:left w:w="100" w:type="dxa"/>
              <w:right w:w="100" w:type="dxa"/>
            </w:tcMar>
          </w:tcPr>
          <w:p>
            <w:r>
              <w:rPr>
                <w:rFonts w:ascii="Arial" w:hAnsi="Arial"/>
                <w:color w:val="1C1917"/>
                <w:sz w:val="16"/>
              </w:rPr>
              <w:t>施工規劃核准</w:t>
            </w:r>
          </w:p>
        </w:tc>
      </w:tr>
      <w:tr>
        <w:tc>
          <w:tcPr>
            <w:tcW w:type="dxa" w:w="1440"/>
            <w:shd w:fill="FFFFFF"/>
            <w:tcMar>
              <w:top w:w="60" w:type="dxa"/>
              <w:bottom w:w="60" w:type="dxa"/>
              <w:left w:w="100" w:type="dxa"/>
              <w:right w:w="100" w:type="dxa"/>
            </w:tcMar>
          </w:tcPr>
          <w:p>
            <w:r>
              <w:rPr>
                <w:rFonts w:ascii="Arial" w:hAnsi="Arial"/>
                <w:color w:val="1C1917"/>
                <w:sz w:val="16"/>
              </w:rPr>
              <w:t>Day 15</w:t>
            </w:r>
          </w:p>
        </w:tc>
        <w:tc>
          <w:tcPr>
            <w:tcW w:type="dxa" w:w="1728"/>
            <w:shd w:fill="FFFFFF"/>
            <w:tcMar>
              <w:top w:w="60" w:type="dxa"/>
              <w:bottom w:w="60" w:type="dxa"/>
              <w:left w:w="100" w:type="dxa"/>
              <w:right w:w="100" w:type="dxa"/>
            </w:tcMar>
          </w:tcPr>
          <w:p>
            <w:r>
              <w:rPr>
                <w:rFonts w:ascii="Arial" w:hAnsi="Arial"/>
                <w:color w:val="1C1917"/>
                <w:sz w:val="16"/>
              </w:rPr>
              <w:t>2027/01/22</w:t>
            </w:r>
          </w:p>
        </w:tc>
        <w:tc>
          <w:tcPr>
            <w:tcW w:type="dxa" w:w="5184"/>
            <w:shd w:fill="FFFFFF"/>
            <w:tcMar>
              <w:top w:w="60" w:type="dxa"/>
              <w:bottom w:w="60" w:type="dxa"/>
              <w:left w:w="100" w:type="dxa"/>
              <w:right w:w="100" w:type="dxa"/>
            </w:tcMar>
          </w:tcPr>
          <w:p>
            <w:r>
              <w:rPr>
                <w:rFonts w:ascii="Arial" w:hAnsi="Arial"/>
                <w:color w:val="1C1917"/>
                <w:sz w:val="16"/>
              </w:rPr>
              <w:t>100 頁總結報告初稿編纂、跨國廠長意見覆核彙整</w:t>
            </w:r>
          </w:p>
        </w:tc>
        <w:tc>
          <w:tcPr>
            <w:tcW w:type="dxa" w:w="2016"/>
            <w:shd w:fill="FFFFFF"/>
            <w:tcMar>
              <w:top w:w="60" w:type="dxa"/>
              <w:bottom w:w="60" w:type="dxa"/>
              <w:left w:w="100" w:type="dxa"/>
              <w:right w:w="100" w:type="dxa"/>
            </w:tcMar>
          </w:tcPr>
          <w:p>
            <w:r>
              <w:rPr>
                <w:rFonts w:ascii="Arial" w:hAnsi="Arial"/>
                <w:color w:val="1C1917"/>
                <w:sz w:val="16"/>
              </w:rPr>
              <w:t>初稿審定</w:t>
            </w:r>
          </w:p>
        </w:tc>
      </w:tr>
      <w:tr>
        <w:tc>
          <w:tcPr>
            <w:tcW w:type="dxa" w:w="1440"/>
            <w:shd w:fill="FAFAF9"/>
            <w:tcMar>
              <w:top w:w="60" w:type="dxa"/>
              <w:bottom w:w="60" w:type="dxa"/>
              <w:left w:w="100" w:type="dxa"/>
              <w:right w:w="100" w:type="dxa"/>
            </w:tcMar>
          </w:tcPr>
          <w:p>
            <w:r>
              <w:rPr>
                <w:rFonts w:ascii="Arial" w:hAnsi="Arial"/>
                <w:color w:val="1C1917"/>
                <w:sz w:val="16"/>
              </w:rPr>
              <w:t>Day 16</w:t>
            </w:r>
          </w:p>
        </w:tc>
        <w:tc>
          <w:tcPr>
            <w:tcW w:type="dxa" w:w="1728"/>
            <w:shd w:fill="FAFAF9"/>
            <w:tcMar>
              <w:top w:w="60" w:type="dxa"/>
              <w:bottom w:w="60" w:type="dxa"/>
              <w:left w:w="100" w:type="dxa"/>
              <w:right w:w="100" w:type="dxa"/>
            </w:tcMar>
          </w:tcPr>
          <w:p>
            <w:r>
              <w:rPr>
                <w:rFonts w:ascii="Arial" w:hAnsi="Arial"/>
                <w:color w:val="1C1917"/>
                <w:sz w:val="16"/>
              </w:rPr>
              <w:t>2027/01/26</w:t>
            </w:r>
          </w:p>
        </w:tc>
        <w:tc>
          <w:tcPr>
            <w:tcW w:type="dxa" w:w="5184"/>
            <w:shd w:fill="FAFAF9"/>
            <w:tcMar>
              <w:top w:w="60" w:type="dxa"/>
              <w:bottom w:w="60" w:type="dxa"/>
              <w:left w:w="100" w:type="dxa"/>
              <w:right w:w="100" w:type="dxa"/>
            </w:tcMar>
          </w:tcPr>
          <w:p>
            <w:r>
              <w:rPr>
                <w:rFonts w:ascii="Arial" w:hAnsi="Arial"/>
                <w:color w:val="1C1917"/>
                <w:sz w:val="16"/>
              </w:rPr>
              <w:t>高管簡報 PPTX 編製、第二階段 Pillar II~IV 路線圖擘劃</w:t>
            </w:r>
          </w:p>
        </w:tc>
        <w:tc>
          <w:tcPr>
            <w:tcW w:type="dxa" w:w="2016"/>
            <w:shd w:fill="FAFAF9"/>
            <w:tcMar>
              <w:top w:w="60" w:type="dxa"/>
              <w:bottom w:w="60" w:type="dxa"/>
              <w:left w:w="100" w:type="dxa"/>
              <w:right w:w="100" w:type="dxa"/>
            </w:tcMar>
          </w:tcPr>
          <w:p>
            <w:r>
              <w:rPr>
                <w:rFonts w:ascii="Arial" w:hAnsi="Arial"/>
                <w:color w:val="1C1917"/>
                <w:sz w:val="16"/>
              </w:rPr>
              <w:t>簡報審批</w:t>
            </w:r>
          </w:p>
        </w:tc>
      </w:tr>
      <w:tr>
        <w:tc>
          <w:tcPr>
            <w:tcW w:type="dxa" w:w="1440"/>
            <w:shd w:fill="FFFFFF"/>
            <w:tcMar>
              <w:top w:w="60" w:type="dxa"/>
              <w:bottom w:w="60" w:type="dxa"/>
              <w:left w:w="100" w:type="dxa"/>
              <w:right w:w="100" w:type="dxa"/>
            </w:tcMar>
          </w:tcPr>
          <w:p>
            <w:r>
              <w:rPr>
                <w:rFonts w:ascii="Arial" w:hAnsi="Arial"/>
                <w:color w:val="1C1917"/>
                <w:sz w:val="16"/>
              </w:rPr>
              <w:t>Day 17</w:t>
            </w:r>
          </w:p>
        </w:tc>
        <w:tc>
          <w:tcPr>
            <w:tcW w:type="dxa" w:w="1728"/>
            <w:shd w:fill="FFFFFF"/>
            <w:tcMar>
              <w:top w:w="60" w:type="dxa"/>
              <w:bottom w:w="60" w:type="dxa"/>
              <w:left w:w="100" w:type="dxa"/>
              <w:right w:w="100" w:type="dxa"/>
            </w:tcMar>
          </w:tcPr>
          <w:p>
            <w:r>
              <w:rPr>
                <w:rFonts w:ascii="Arial" w:hAnsi="Arial"/>
                <w:color w:val="1C1917"/>
                <w:sz w:val="16"/>
              </w:rPr>
              <w:t>2027/01/29</w:t>
            </w:r>
          </w:p>
        </w:tc>
        <w:tc>
          <w:tcPr>
            <w:tcW w:type="dxa" w:w="5184"/>
            <w:shd w:fill="FFFFFF"/>
            <w:tcMar>
              <w:top w:w="60" w:type="dxa"/>
              <w:bottom w:w="60" w:type="dxa"/>
              <w:left w:w="100" w:type="dxa"/>
              <w:right w:w="100" w:type="dxa"/>
            </w:tcMar>
          </w:tcPr>
          <w:p>
            <w:r>
              <w:rPr>
                <w:rFonts w:ascii="Arial" w:hAnsi="Arial"/>
                <w:color w:val="1C1917"/>
                <w:sz w:val="16"/>
              </w:rPr>
              <w:t>第一階段總體驗收交付大會、雙簽核決、全案結案 (M2)</w:t>
            </w:r>
          </w:p>
        </w:tc>
        <w:tc>
          <w:tcPr>
            <w:tcW w:type="dxa" w:w="2016"/>
            <w:shd w:fill="FFFFFF"/>
            <w:tcMar>
              <w:top w:w="60" w:type="dxa"/>
              <w:bottom w:w="60" w:type="dxa"/>
              <w:left w:w="100" w:type="dxa"/>
              <w:right w:w="100" w:type="dxa"/>
            </w:tcMar>
          </w:tcPr>
          <w:p>
            <w:r>
              <w:rPr>
                <w:rFonts w:ascii="Arial" w:hAnsi="Arial"/>
                <w:color w:val="1C1917"/>
                <w:sz w:val="16"/>
              </w:rPr>
              <w:t>★ M2 結案簽署</w:t>
            </w:r>
          </w:p>
        </w:tc>
      </w:tr>
    </w:tbl>
    <w:p>
      <w:pPr>
        <w:spacing w:after="80"/>
      </w:pPr>
    </w:p>
    <w:p>
      <w:r>
        <w:br w:type="page"/>
      </w:r>
    </w:p>
    <w:p>
      <w:pPr>
        <w:spacing w:before="160" w:after="80"/>
      </w:pPr>
      <w:r>
        <w:rPr>
          <w:rFonts w:ascii="Arial" w:hAnsi="Arial"/>
          <w:b/>
          <w:color w:val="D97706"/>
          <w:sz w:val="22"/>
        </w:rPr>
        <w:t xml:space="preserve">【附錄 F】 </w:t>
      </w:r>
      <w:r>
        <w:rPr>
          <w:rFonts w:ascii="Arial" w:hAnsi="Arial"/>
          <w:b/>
          <w:color w:val="A83212"/>
          <w:sz w:val="30"/>
        </w:rPr>
        <w:t>信源全球 2027 蜂巢計畫技術名詞與標準術語對照表</w:t>
      </w:r>
    </w:p>
    <w:p>
      <w:pPr>
        <w:spacing w:before="0" w:after="200"/>
      </w:pPr>
      <w:r>
        <w:rPr>
          <w:rFonts w:ascii="Arial" w:hAnsi="Arial"/>
          <w:i/>
          <w:color w:val="78716C"/>
          <w:sz w:val="19"/>
        </w:rPr>
        <w:t>Appendix F · Standardized Terminology Glossary (Zero-Slang Baseline)</w:t>
      </w:r>
    </w:p>
    <w:p>
      <w:pPr>
        <w:spacing w:before="0" w:after="120" w:line="276" w:lineRule="auto"/>
      </w:pPr>
      <w:r>
        <w:rPr>
          <w:rFonts w:ascii="Arial" w:hAnsi="Arial"/>
          <w:color w:val="1C1917"/>
          <w:sz w:val="19"/>
        </w:rPr>
        <w:t>為維護集團對外國際形象並符合品牌客戶驗廠標準，全案嚴格淘汰業界非正式俗稱，制定標準術語對照表：</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原業界非正式俗稱 (淘汰)</w:t>
            </w:r>
          </w:p>
        </w:tc>
        <w:tc>
          <w:tcPr>
            <w:tcW w:type="dxa" w:w="3168"/>
            <w:shd w:fill="F5EFEB"/>
            <w:tcMar>
              <w:top w:w="80" w:type="dxa"/>
              <w:bottom w:w="80" w:type="dxa"/>
              <w:left w:w="100" w:type="dxa"/>
              <w:right w:w="100" w:type="dxa"/>
            </w:tcMar>
          </w:tcPr>
          <w:p>
            <w:r>
              <w:rPr>
                <w:rFonts w:ascii="Arial" w:hAnsi="Arial"/>
                <w:b/>
                <w:color w:val="A83212"/>
                <w:sz w:val="17"/>
              </w:rPr>
              <w:t>集團正式技術與管理標準術語</w:t>
            </w:r>
          </w:p>
        </w:tc>
        <w:tc>
          <w:tcPr>
            <w:tcW w:type="dxa" w:w="2592"/>
            <w:shd w:fill="F5EFEB"/>
            <w:tcMar>
              <w:top w:w="80" w:type="dxa"/>
              <w:bottom w:w="80" w:type="dxa"/>
              <w:left w:w="100" w:type="dxa"/>
              <w:right w:w="100" w:type="dxa"/>
            </w:tcMar>
          </w:tcPr>
          <w:p>
            <w:r>
              <w:rPr>
                <w:rFonts w:ascii="Arial" w:hAnsi="Arial"/>
                <w:b/>
                <w:color w:val="A83212"/>
                <w:sz w:val="17"/>
              </w:rPr>
              <w:t>英文官方名稱 (English)</w:t>
            </w:r>
          </w:p>
        </w:tc>
        <w:tc>
          <w:tcPr>
            <w:tcW w:type="dxa" w:w="2016"/>
            <w:shd w:fill="F5EFEB"/>
            <w:tcMar>
              <w:top w:w="80" w:type="dxa"/>
              <w:bottom w:w="80" w:type="dxa"/>
              <w:left w:w="100" w:type="dxa"/>
              <w:right w:w="100" w:type="dxa"/>
            </w:tcMar>
          </w:tcPr>
          <w:p>
            <w:r>
              <w:rPr>
                <w:rFonts w:ascii="Arial" w:hAnsi="Arial"/>
                <w:b/>
                <w:color w:val="A83212"/>
                <w:sz w:val="17"/>
              </w:rPr>
              <w:t>國際標準定義與使用情境</w:t>
            </w:r>
          </w:p>
        </w:tc>
      </w:tr>
      <w:tr>
        <w:tc>
          <w:tcPr>
            <w:tcW w:type="dxa" w:w="2592"/>
            <w:shd w:fill="FFFFFF"/>
            <w:tcMar>
              <w:top w:w="60" w:type="dxa"/>
              <w:bottom w:w="60" w:type="dxa"/>
              <w:left w:w="100" w:type="dxa"/>
              <w:right w:w="100" w:type="dxa"/>
            </w:tcMar>
          </w:tcPr>
          <w:p>
            <w:r>
              <w:rPr>
                <w:rFonts w:ascii="Arial" w:hAnsi="Arial"/>
                <w:color w:val="1C1917"/>
                <w:sz w:val="16"/>
              </w:rPr>
              <w:t>本地娃娃 / 娃娃圖</w:t>
              <w:br/>
              <w:t>(Slang / Jargon)</w:t>
            </w:r>
          </w:p>
        </w:tc>
        <w:tc>
          <w:tcPr>
            <w:tcW w:type="dxa" w:w="3168"/>
            <w:shd w:fill="FFFFFF"/>
            <w:tcMar>
              <w:top w:w="60" w:type="dxa"/>
              <w:bottom w:w="60" w:type="dxa"/>
              <w:left w:w="100" w:type="dxa"/>
              <w:right w:w="100" w:type="dxa"/>
            </w:tcMar>
          </w:tcPr>
          <w:p>
            <w:r>
              <w:rPr>
                <w:rFonts w:ascii="Arial" w:hAnsi="Arial"/>
                <w:color w:val="1C1917"/>
                <w:sz w:val="16"/>
              </w:rPr>
              <w:t>★ 訂單款式結構圖 ｜</w:t>
              <w:br/>
              <w:t>款式平面工藝圖</w:t>
            </w:r>
          </w:p>
        </w:tc>
        <w:tc>
          <w:tcPr>
            <w:tcW w:type="dxa" w:w="2592"/>
            <w:shd w:fill="FFFFFF"/>
            <w:tcMar>
              <w:top w:w="60" w:type="dxa"/>
              <w:bottom w:w="60" w:type="dxa"/>
              <w:left w:w="100" w:type="dxa"/>
              <w:right w:w="100" w:type="dxa"/>
            </w:tcMar>
          </w:tcPr>
          <w:p>
            <w:r>
              <w:rPr>
                <w:rFonts w:ascii="Arial" w:hAnsi="Arial"/>
                <w:color w:val="1C1917"/>
                <w:sz w:val="16"/>
              </w:rPr>
              <w:t>Technical Flat Sketch ｜</w:t>
              <w:br/>
              <w:t>Garment Style CAD</w:t>
            </w:r>
          </w:p>
        </w:tc>
        <w:tc>
          <w:tcPr>
            <w:tcW w:type="dxa" w:w="2016"/>
            <w:shd w:fill="FFFFFF"/>
            <w:tcMar>
              <w:top w:w="60" w:type="dxa"/>
              <w:bottom w:w="60" w:type="dxa"/>
              <w:left w:w="100" w:type="dxa"/>
              <w:right w:w="100" w:type="dxa"/>
            </w:tcMar>
          </w:tcPr>
          <w:p>
            <w:r>
              <w:rPr>
                <w:rFonts w:ascii="Arial" w:hAnsi="Arial"/>
                <w:color w:val="1C1917"/>
                <w:sz w:val="16"/>
              </w:rPr>
              <w:t>國際成衣界專用術語。指不帶人體模特兒之黑白線條向量款式結構工藝圖，標註車縫針距與做工尺寸。</w:t>
            </w:r>
          </w:p>
        </w:tc>
      </w:tr>
      <w:tr>
        <w:tc>
          <w:tcPr>
            <w:tcW w:type="dxa" w:w="2592"/>
            <w:shd w:fill="FAFAF9"/>
            <w:tcMar>
              <w:top w:w="60" w:type="dxa"/>
              <w:bottom w:w="60" w:type="dxa"/>
              <w:left w:w="100" w:type="dxa"/>
              <w:right w:w="100" w:type="dxa"/>
            </w:tcMar>
          </w:tcPr>
          <w:p>
            <w:r>
              <w:rPr>
                <w:rFonts w:ascii="Arial" w:hAnsi="Arial"/>
                <w:color w:val="1C1917"/>
                <w:sz w:val="16"/>
              </w:rPr>
              <w:t>寫程式 / 敲代碼</w:t>
            </w:r>
          </w:p>
        </w:tc>
        <w:tc>
          <w:tcPr>
            <w:tcW w:type="dxa" w:w="3168"/>
            <w:shd w:fill="FAFAF9"/>
            <w:tcMar>
              <w:top w:w="60" w:type="dxa"/>
              <w:bottom w:w="60" w:type="dxa"/>
              <w:left w:w="100" w:type="dxa"/>
              <w:right w:w="100" w:type="dxa"/>
            </w:tcMar>
          </w:tcPr>
          <w:p>
            <w:r>
              <w:rPr>
                <w:rFonts w:ascii="Arial" w:hAnsi="Arial"/>
                <w:color w:val="1C1917"/>
                <w:sz w:val="16"/>
              </w:rPr>
              <w:t>軟體工程實踐 ｜</w:t>
              <w:br/>
              <w:t>代碼交付與生命週期</w:t>
            </w:r>
          </w:p>
        </w:tc>
        <w:tc>
          <w:tcPr>
            <w:tcW w:type="dxa" w:w="2592"/>
            <w:shd w:fill="FAFAF9"/>
            <w:tcMar>
              <w:top w:w="60" w:type="dxa"/>
              <w:bottom w:w="60" w:type="dxa"/>
              <w:left w:w="100" w:type="dxa"/>
              <w:right w:w="100" w:type="dxa"/>
            </w:tcMar>
          </w:tcPr>
          <w:p>
            <w:r>
              <w:rPr>
                <w:rFonts w:ascii="Arial" w:hAnsi="Arial"/>
                <w:color w:val="1C1917"/>
                <w:sz w:val="16"/>
              </w:rPr>
              <w:t>Software Engineering ｜</w:t>
              <w:br/>
              <w:t>AI-SDLC Delivery</w:t>
            </w:r>
          </w:p>
        </w:tc>
        <w:tc>
          <w:tcPr>
            <w:tcW w:type="dxa" w:w="2016"/>
            <w:shd w:fill="FAFAF9"/>
            <w:tcMar>
              <w:top w:w="60" w:type="dxa"/>
              <w:bottom w:w="60" w:type="dxa"/>
              <w:left w:w="100" w:type="dxa"/>
              <w:right w:w="100" w:type="dxa"/>
            </w:tcMar>
          </w:tcPr>
          <w:p>
            <w:r>
              <w:rPr>
                <w:rFonts w:ascii="Arial" w:hAnsi="Arial"/>
                <w:color w:val="1C1917"/>
                <w:sz w:val="16"/>
              </w:rPr>
              <w:t>強調具備架構分層、單元測試、MR 審核與資安門禁的受控軟體開發過程。</w:t>
            </w:r>
          </w:p>
        </w:tc>
      </w:tr>
      <w:tr>
        <w:tc>
          <w:tcPr>
            <w:tcW w:type="dxa" w:w="2592"/>
            <w:shd w:fill="FFFFFF"/>
            <w:tcMar>
              <w:top w:w="60" w:type="dxa"/>
              <w:bottom w:w="60" w:type="dxa"/>
              <w:left w:w="100" w:type="dxa"/>
              <w:right w:w="100" w:type="dxa"/>
            </w:tcMar>
          </w:tcPr>
          <w:p>
            <w:r>
              <w:rPr>
                <w:rFonts w:ascii="Arial" w:hAnsi="Arial"/>
                <w:color w:val="1C1917"/>
                <w:sz w:val="16"/>
              </w:rPr>
              <w:t>直接上版 / 蓋檔案</w:t>
            </w:r>
          </w:p>
        </w:tc>
        <w:tc>
          <w:tcPr>
            <w:tcW w:type="dxa" w:w="3168"/>
            <w:shd w:fill="FFFFFF"/>
            <w:tcMar>
              <w:top w:w="60" w:type="dxa"/>
              <w:bottom w:w="60" w:type="dxa"/>
              <w:left w:w="100" w:type="dxa"/>
              <w:right w:w="100" w:type="dxa"/>
            </w:tcMar>
          </w:tcPr>
          <w:p>
            <w:r>
              <w:rPr>
                <w:rFonts w:ascii="Arial" w:hAnsi="Arial"/>
                <w:color w:val="1C1917"/>
                <w:sz w:val="16"/>
              </w:rPr>
              <w:t>受控發布 ｜</w:t>
              <w:br/>
              <w:t>變更管理 (RFC)</w:t>
            </w:r>
          </w:p>
        </w:tc>
        <w:tc>
          <w:tcPr>
            <w:tcW w:type="dxa" w:w="2592"/>
            <w:shd w:fill="FFFFFF"/>
            <w:tcMar>
              <w:top w:w="60" w:type="dxa"/>
              <w:bottom w:w="60" w:type="dxa"/>
              <w:left w:w="100" w:type="dxa"/>
              <w:right w:w="100" w:type="dxa"/>
            </w:tcMar>
          </w:tcPr>
          <w:p>
            <w:r>
              <w:rPr>
                <w:rFonts w:ascii="Arial" w:hAnsi="Arial"/>
                <w:color w:val="1C1917"/>
                <w:sz w:val="16"/>
              </w:rPr>
              <w:t>Controlled Release ｜</w:t>
              <w:br/>
              <w:t>Change Management</w:t>
            </w:r>
          </w:p>
        </w:tc>
        <w:tc>
          <w:tcPr>
            <w:tcW w:type="dxa" w:w="2016"/>
            <w:shd w:fill="FFFFFF"/>
            <w:tcMar>
              <w:top w:w="60" w:type="dxa"/>
              <w:bottom w:w="60" w:type="dxa"/>
              <w:left w:w="100" w:type="dxa"/>
              <w:right w:w="100" w:type="dxa"/>
            </w:tcMar>
          </w:tcPr>
          <w:p>
            <w:r>
              <w:rPr>
                <w:rFonts w:ascii="Arial" w:hAnsi="Arial"/>
                <w:color w:val="1C1917"/>
                <w:sz w:val="16"/>
              </w:rPr>
              <w:t>嚴禁任何人跳過 CI/CD 私推代碼，必須通過 Review Matrix 具名核決後部署。</w:t>
            </w:r>
          </w:p>
        </w:tc>
      </w:tr>
      <w:tr>
        <w:tc>
          <w:tcPr>
            <w:tcW w:type="dxa" w:w="2592"/>
            <w:shd w:fill="FAFAF9"/>
            <w:tcMar>
              <w:top w:w="60" w:type="dxa"/>
              <w:bottom w:w="60" w:type="dxa"/>
              <w:left w:w="100" w:type="dxa"/>
              <w:right w:w="100" w:type="dxa"/>
            </w:tcMar>
          </w:tcPr>
          <w:p>
            <w:r>
              <w:rPr>
                <w:rFonts w:ascii="Arial" w:hAnsi="Arial"/>
                <w:color w:val="1C1917"/>
                <w:sz w:val="16"/>
              </w:rPr>
              <w:t>資料庫直接直抽</w:t>
            </w:r>
          </w:p>
        </w:tc>
        <w:tc>
          <w:tcPr>
            <w:tcW w:type="dxa" w:w="3168"/>
            <w:shd w:fill="FAFAF9"/>
            <w:tcMar>
              <w:top w:w="60" w:type="dxa"/>
              <w:bottom w:w="60" w:type="dxa"/>
              <w:left w:w="100" w:type="dxa"/>
              <w:right w:w="100" w:type="dxa"/>
            </w:tcMar>
          </w:tcPr>
          <w:p>
            <w:r>
              <w:rPr>
                <w:rFonts w:ascii="Arial" w:hAnsi="Arial"/>
                <w:color w:val="1C1917"/>
                <w:sz w:val="16"/>
              </w:rPr>
              <w:t>原生異動日誌捕獲</w:t>
            </w:r>
          </w:p>
        </w:tc>
        <w:tc>
          <w:tcPr>
            <w:tcW w:type="dxa" w:w="2592"/>
            <w:shd w:fill="FAFAF9"/>
            <w:tcMar>
              <w:top w:w="60" w:type="dxa"/>
              <w:bottom w:w="60" w:type="dxa"/>
              <w:left w:w="100" w:type="dxa"/>
              <w:right w:w="100" w:type="dxa"/>
            </w:tcMar>
          </w:tcPr>
          <w:p>
            <w:r>
              <w:rPr>
                <w:rFonts w:ascii="Arial" w:hAnsi="Arial"/>
                <w:color w:val="1C1917"/>
                <w:sz w:val="16"/>
              </w:rPr>
              <w:t>Change Data Capture (CDC)</w:t>
            </w:r>
          </w:p>
        </w:tc>
        <w:tc>
          <w:tcPr>
            <w:tcW w:type="dxa" w:w="2016"/>
            <w:shd w:fill="FAFAF9"/>
            <w:tcMar>
              <w:top w:w="60" w:type="dxa"/>
              <w:bottom w:w="60" w:type="dxa"/>
              <w:left w:w="100" w:type="dxa"/>
              <w:right w:w="100" w:type="dxa"/>
            </w:tcMar>
          </w:tcPr>
          <w:p>
            <w:r>
              <w:rPr>
                <w:rFonts w:ascii="Arial" w:hAnsi="Arial"/>
                <w:color w:val="1C1917"/>
                <w:sz w:val="16"/>
              </w:rPr>
              <w:t>透過 SQL 交易日誌獲取增量資料，零鎖表、零衝擊，守護產線穩定。</w:t>
            </w:r>
          </w:p>
        </w:tc>
      </w:tr>
    </w:tbl>
    <w:p>
      <w:pPr>
        <w:spacing w:after="80"/>
      </w:pPr>
    </w:p>
    <w:p>
      <w:r>
        <w:br w:type="page"/>
      </w:r>
    </w:p>
    <w:p>
      <w:pPr>
        <w:spacing w:before="160" w:after="80"/>
      </w:pPr>
      <w:r>
        <w:rPr>
          <w:rFonts w:ascii="Arial" w:hAnsi="Arial"/>
          <w:b/>
          <w:color w:val="D97706"/>
          <w:sz w:val="22"/>
        </w:rPr>
        <w:t xml:space="preserve">【附錄 G】 </w:t>
      </w:r>
      <w:r>
        <w:rPr>
          <w:rFonts w:ascii="Arial" w:hAnsi="Arial"/>
          <w:b/>
          <w:color w:val="A83212"/>
          <w:sz w:val="30"/>
        </w:rPr>
        <w:t>第一階段顧問服務正式雙簽核決頁</w:t>
      </w:r>
    </w:p>
    <w:p>
      <w:pPr>
        <w:spacing w:before="0" w:after="200"/>
      </w:pPr>
      <w:r>
        <w:rPr>
          <w:rFonts w:ascii="Arial" w:hAnsi="Arial"/>
          <w:i/>
          <w:color w:val="78716C"/>
          <w:sz w:val="19"/>
        </w:rPr>
        <w:t>Appendix G · Final Dual Executive Sign-off &amp; Phase 2 Commissioning</w:t>
      </w:r>
    </w:p>
    <w:p>
      <w:pPr>
        <w:spacing w:before="0" w:after="120" w:line="276" w:lineRule="auto"/>
      </w:pPr>
      <w:r>
        <w:rPr>
          <w:rFonts w:ascii="Arial" w:hAnsi="Arial"/>
          <w:color w:val="1C1917"/>
          <w:sz w:val="19"/>
        </w:rPr>
        <w:t>本結案總結報告全文共計十個章節、四十項專題與七項附錄，總計 110 頁。經計劃主持人周文津副總經理與執行負責人 Howard Liao Ph.D. 共同逐頁走查審定，確認第一階段所有約定工作事項 100% 圓滿達成，特此正式雙簽核決！</w:t>
      </w:r>
    </w:p>
    <w:tbl>
      <w:tblPr>
        <w:tblW w:type="auto" w:w="0"/>
        <w:jc w:val="center"/>
        <w:tblLook w:firstColumn="1" w:firstRow="1" w:lastColumn="0" w:lastRow="0" w:noHBand="0" w:noVBand="1" w:val="04A0"/>
      </w:tblPr>
      <w:tblGrid>
        <w:gridCol w:w="2412"/>
        <w:gridCol w:w="2412"/>
        <w:gridCol w:w="2412"/>
        <w:gridCol w:w="2412"/>
      </w:tblGrid>
      <w:tr>
        <w:tc>
          <w:tcPr>
            <w:tcW w:type="dxa" w:w="2592"/>
            <w:shd w:fill="F5EFEB"/>
            <w:tcMar>
              <w:top w:w="80" w:type="dxa"/>
              <w:bottom w:w="80" w:type="dxa"/>
              <w:left w:w="100" w:type="dxa"/>
              <w:right w:w="100" w:type="dxa"/>
            </w:tcMar>
          </w:tcPr>
          <w:p>
            <w:r>
              <w:rPr>
                <w:rFonts w:ascii="Arial" w:hAnsi="Arial"/>
                <w:b/>
                <w:color w:val="A83212"/>
                <w:sz w:val="17"/>
              </w:rPr>
              <w:t>核定驗收項目</w:t>
            </w:r>
          </w:p>
        </w:tc>
        <w:tc>
          <w:tcPr>
            <w:tcW w:type="dxa" w:w="3168"/>
            <w:shd w:fill="F5EFEB"/>
            <w:tcMar>
              <w:top w:w="80" w:type="dxa"/>
              <w:bottom w:w="80" w:type="dxa"/>
              <w:left w:w="100" w:type="dxa"/>
              <w:right w:w="100" w:type="dxa"/>
            </w:tcMar>
          </w:tcPr>
          <w:p>
            <w:r>
              <w:rPr>
                <w:rFonts w:ascii="Arial" w:hAnsi="Arial"/>
                <w:b/>
                <w:color w:val="A83212"/>
                <w:sz w:val="17"/>
              </w:rPr>
              <w:t>合同約定指標與要求</w:t>
            </w:r>
          </w:p>
        </w:tc>
        <w:tc>
          <w:tcPr>
            <w:tcW w:type="dxa" w:w="2592"/>
            <w:shd w:fill="F5EFEB"/>
            <w:tcMar>
              <w:top w:w="80" w:type="dxa"/>
              <w:bottom w:w="80" w:type="dxa"/>
              <w:left w:w="100" w:type="dxa"/>
              <w:right w:w="100" w:type="dxa"/>
            </w:tcMar>
          </w:tcPr>
          <w:p>
            <w:r>
              <w:rPr>
                <w:rFonts w:ascii="Arial" w:hAnsi="Arial"/>
                <w:b/>
                <w:color w:val="A83212"/>
                <w:sz w:val="17"/>
              </w:rPr>
              <w:t>實質達成驗收狀態</w:t>
            </w:r>
          </w:p>
        </w:tc>
        <w:tc>
          <w:tcPr>
            <w:tcW w:type="dxa" w:w="2016"/>
            <w:shd w:fill="F5EFEB"/>
            <w:tcMar>
              <w:top w:w="80" w:type="dxa"/>
              <w:bottom w:w="80" w:type="dxa"/>
              <w:left w:w="100" w:type="dxa"/>
              <w:right w:w="100" w:type="dxa"/>
            </w:tcMar>
          </w:tcPr>
          <w:p>
            <w:r>
              <w:rPr>
                <w:rFonts w:ascii="Arial" w:hAnsi="Arial"/>
                <w:b/>
                <w:color w:val="A83212"/>
                <w:sz w:val="17"/>
              </w:rPr>
              <w:t>計劃主持人核決結論</w:t>
            </w:r>
          </w:p>
        </w:tc>
      </w:tr>
      <w:tr>
        <w:tc>
          <w:tcPr>
            <w:tcW w:type="dxa" w:w="2592"/>
            <w:shd w:fill="FFFFFF"/>
            <w:tcMar>
              <w:top w:w="60" w:type="dxa"/>
              <w:bottom w:w="60" w:type="dxa"/>
              <w:left w:w="100" w:type="dxa"/>
              <w:right w:w="100" w:type="dxa"/>
            </w:tcMar>
          </w:tcPr>
          <w:p>
            <w:r>
              <w:rPr>
                <w:rFonts w:ascii="Arial" w:hAnsi="Arial"/>
                <w:color w:val="1C1917"/>
                <w:sz w:val="16"/>
              </w:rPr>
              <w:t>Pillar I 數位底座 8 大領域</w:t>
            </w:r>
          </w:p>
        </w:tc>
        <w:tc>
          <w:tcPr>
            <w:tcW w:type="dxa" w:w="3168"/>
            <w:shd w:fill="FFFFFF"/>
            <w:tcMar>
              <w:top w:w="60" w:type="dxa"/>
              <w:bottom w:w="60" w:type="dxa"/>
              <w:left w:w="100" w:type="dxa"/>
              <w:right w:w="100" w:type="dxa"/>
            </w:tcMar>
          </w:tcPr>
          <w:p>
            <w:r>
              <w:rPr>
                <w:rFonts w:ascii="Arial" w:hAnsi="Arial"/>
                <w:color w:val="1C1917"/>
                <w:sz w:val="16"/>
              </w:rPr>
              <w:t>全案架構圖資與規範手冊完備</w:t>
            </w:r>
          </w:p>
        </w:tc>
        <w:tc>
          <w:tcPr>
            <w:tcW w:type="dxa" w:w="2592"/>
            <w:shd w:fill="FFFFFF"/>
            <w:tcMar>
              <w:top w:w="60" w:type="dxa"/>
              <w:bottom w:w="60" w:type="dxa"/>
              <w:left w:w="100" w:type="dxa"/>
              <w:right w:w="100" w:type="dxa"/>
            </w:tcMar>
          </w:tcPr>
          <w:p>
            <w:r>
              <w:rPr>
                <w:rFonts w:ascii="Arial" w:hAnsi="Arial"/>
                <w:color w:val="1C1917"/>
                <w:sz w:val="16"/>
              </w:rPr>
              <w:t>★ 100% 達成 (出具出版級白皮書)</w:t>
            </w:r>
          </w:p>
        </w:tc>
        <w:tc>
          <w:tcPr>
            <w:tcW w:type="dxa" w:w="2016"/>
            <w:shd w:fill="FFFFFF"/>
            <w:tcMar>
              <w:top w:w="60" w:type="dxa"/>
              <w:bottom w:w="60" w:type="dxa"/>
              <w:left w:w="100" w:type="dxa"/>
              <w:right w:w="100" w:type="dxa"/>
            </w:tcMar>
          </w:tcPr>
          <w:p>
            <w:r>
              <w:rPr>
                <w:rFonts w:ascii="Arial" w:hAnsi="Arial"/>
                <w:color w:val="1C1917"/>
                <w:sz w:val="16"/>
              </w:rPr>
              <w:t>【准予結案，全案核銷】</w:t>
            </w:r>
          </w:p>
        </w:tc>
      </w:tr>
      <w:tr>
        <w:tc>
          <w:tcPr>
            <w:tcW w:type="dxa" w:w="2592"/>
            <w:shd w:fill="FAFAF9"/>
            <w:tcMar>
              <w:top w:w="60" w:type="dxa"/>
              <w:bottom w:w="60" w:type="dxa"/>
              <w:left w:w="100" w:type="dxa"/>
              <w:right w:w="100" w:type="dxa"/>
            </w:tcMar>
          </w:tcPr>
          <w:p>
            <w:r>
              <w:rPr>
                <w:rFonts w:ascii="Arial" w:hAnsi="Arial"/>
                <w:color w:val="1C1917"/>
                <w:sz w:val="16"/>
              </w:rPr>
              <w:t>總部 85 萬網路升級規格</w:t>
            </w:r>
          </w:p>
        </w:tc>
        <w:tc>
          <w:tcPr>
            <w:tcW w:type="dxa" w:w="3168"/>
            <w:shd w:fill="FAFAF9"/>
            <w:tcMar>
              <w:top w:w="60" w:type="dxa"/>
              <w:bottom w:w="60" w:type="dxa"/>
              <w:left w:w="100" w:type="dxa"/>
              <w:right w:w="100" w:type="dxa"/>
            </w:tcMar>
          </w:tcPr>
          <w:p>
            <w:r>
              <w:rPr>
                <w:rFonts w:ascii="Arial" w:hAnsi="Arial"/>
                <w:color w:val="1C1917"/>
                <w:sz w:val="16"/>
              </w:rPr>
              <w:t>完成 Switch 模組與 NetApp 驗證</w:t>
            </w:r>
          </w:p>
        </w:tc>
        <w:tc>
          <w:tcPr>
            <w:tcW w:type="dxa" w:w="2592"/>
            <w:shd w:fill="FAFAF9"/>
            <w:tcMar>
              <w:top w:w="60" w:type="dxa"/>
              <w:bottom w:w="60" w:type="dxa"/>
              <w:left w:w="100" w:type="dxa"/>
              <w:right w:w="100" w:type="dxa"/>
            </w:tcMar>
          </w:tcPr>
          <w:p>
            <w:r>
              <w:rPr>
                <w:rFonts w:ascii="Arial" w:hAnsi="Arial"/>
                <w:color w:val="1C1917"/>
                <w:sz w:val="16"/>
              </w:rPr>
              <w:t>★ 100% 達成 (採 DAC 直連線降本)</w:t>
            </w:r>
          </w:p>
        </w:tc>
        <w:tc>
          <w:tcPr>
            <w:tcW w:type="dxa" w:w="2016"/>
            <w:shd w:fill="FAFAF9"/>
            <w:tcMar>
              <w:top w:w="60" w:type="dxa"/>
              <w:bottom w:w="60" w:type="dxa"/>
              <w:left w:w="100" w:type="dxa"/>
              <w:right w:w="100" w:type="dxa"/>
            </w:tcMar>
          </w:tcPr>
          <w:p>
            <w:r>
              <w:rPr>
                <w:rFonts w:ascii="Arial" w:hAnsi="Arial"/>
                <w:color w:val="1C1917"/>
                <w:sz w:val="16"/>
              </w:rPr>
              <w:t>【同意 2027 上半年先行施作】</w:t>
            </w:r>
          </w:p>
        </w:tc>
      </w:tr>
      <w:tr>
        <w:tc>
          <w:tcPr>
            <w:tcW w:type="dxa" w:w="2592"/>
            <w:shd w:fill="FFFFFF"/>
            <w:tcMar>
              <w:top w:w="60" w:type="dxa"/>
              <w:bottom w:w="60" w:type="dxa"/>
              <w:left w:w="100" w:type="dxa"/>
              <w:right w:w="100" w:type="dxa"/>
            </w:tcMar>
          </w:tcPr>
          <w:p>
            <w:r>
              <w:rPr>
                <w:rFonts w:ascii="Arial" w:hAnsi="Arial"/>
                <w:color w:val="1C1917"/>
                <w:sz w:val="16"/>
              </w:rPr>
              <w:t>海外三廠邊緣離線自治</w:t>
            </w:r>
          </w:p>
        </w:tc>
        <w:tc>
          <w:tcPr>
            <w:tcW w:type="dxa" w:w="3168"/>
            <w:shd w:fill="FFFFFF"/>
            <w:tcMar>
              <w:top w:w="60" w:type="dxa"/>
              <w:bottom w:w="60" w:type="dxa"/>
              <w:left w:w="100" w:type="dxa"/>
              <w:right w:w="100" w:type="dxa"/>
            </w:tcMar>
          </w:tcPr>
          <w:p>
            <w:r>
              <w:rPr>
                <w:rFonts w:ascii="Arial" w:hAnsi="Arial"/>
                <w:color w:val="1C1917"/>
                <w:sz w:val="16"/>
              </w:rPr>
              <w:t>ASUS GX10 選型與 72h 演習驗證</w:t>
            </w:r>
          </w:p>
        </w:tc>
        <w:tc>
          <w:tcPr>
            <w:tcW w:type="dxa" w:w="2592"/>
            <w:shd w:fill="FFFFFF"/>
            <w:tcMar>
              <w:top w:w="60" w:type="dxa"/>
              <w:bottom w:w="60" w:type="dxa"/>
              <w:left w:w="100" w:type="dxa"/>
              <w:right w:w="100" w:type="dxa"/>
            </w:tcMar>
          </w:tcPr>
          <w:p>
            <w:r>
              <w:rPr>
                <w:rFonts w:ascii="Arial" w:hAnsi="Arial"/>
                <w:color w:val="1C1917"/>
                <w:sz w:val="16"/>
              </w:rPr>
              <w:t>★ 100% 達成 (越南旗艦廠實測通過)</w:t>
            </w:r>
          </w:p>
        </w:tc>
        <w:tc>
          <w:tcPr>
            <w:tcW w:type="dxa" w:w="2016"/>
            <w:shd w:fill="FFFFFF"/>
            <w:tcMar>
              <w:top w:w="60" w:type="dxa"/>
              <w:bottom w:w="60" w:type="dxa"/>
              <w:left w:w="100" w:type="dxa"/>
              <w:right w:w="100" w:type="dxa"/>
            </w:tcMar>
          </w:tcPr>
          <w:p>
            <w:r>
              <w:rPr>
                <w:rFonts w:ascii="Arial" w:hAnsi="Arial"/>
                <w:color w:val="1C1917"/>
                <w:sz w:val="16"/>
              </w:rPr>
              <w:t>【核可推廣至柬埔寨與印尼】</w:t>
            </w:r>
          </w:p>
        </w:tc>
      </w:tr>
      <w:tr>
        <w:tc>
          <w:tcPr>
            <w:tcW w:type="dxa" w:w="2592"/>
            <w:shd w:fill="FAFAF9"/>
            <w:tcMar>
              <w:top w:w="60" w:type="dxa"/>
              <w:bottom w:w="60" w:type="dxa"/>
              <w:left w:w="100" w:type="dxa"/>
              <w:right w:w="100" w:type="dxa"/>
            </w:tcMar>
          </w:tcPr>
          <w:p>
            <w:r>
              <w:rPr>
                <w:rFonts w:ascii="Arial" w:hAnsi="Arial"/>
                <w:color w:val="1C1917"/>
                <w:sz w:val="16"/>
              </w:rPr>
              <w:t>SCM 版控與 16 人團隊治理</w:t>
            </w:r>
          </w:p>
        </w:tc>
        <w:tc>
          <w:tcPr>
            <w:tcW w:type="dxa" w:w="3168"/>
            <w:shd w:fill="FAFAF9"/>
            <w:tcMar>
              <w:top w:w="60" w:type="dxa"/>
              <w:bottom w:w="60" w:type="dxa"/>
              <w:left w:w="100" w:type="dxa"/>
              <w:right w:w="100" w:type="dxa"/>
            </w:tcMar>
          </w:tcPr>
          <w:p>
            <w:r>
              <w:rPr>
                <w:rFonts w:ascii="Arial" w:hAnsi="Arial"/>
                <w:color w:val="1C1917"/>
                <w:sz w:val="16"/>
              </w:rPr>
              <w:t>收斂至 GitLab ＋ Notion 看板</w:t>
            </w:r>
          </w:p>
        </w:tc>
        <w:tc>
          <w:tcPr>
            <w:tcW w:type="dxa" w:w="2592"/>
            <w:shd w:fill="FAFAF9"/>
            <w:tcMar>
              <w:top w:w="60" w:type="dxa"/>
              <w:bottom w:w="60" w:type="dxa"/>
              <w:left w:w="100" w:type="dxa"/>
              <w:right w:w="100" w:type="dxa"/>
            </w:tcMar>
          </w:tcPr>
          <w:p>
            <w:r>
              <w:rPr>
                <w:rFonts w:ascii="Arial" w:hAnsi="Arial"/>
                <w:color w:val="1C1917"/>
                <w:sz w:val="16"/>
              </w:rPr>
              <w:t>★ 100% 達成 (CQS 試行效率+28%)</w:t>
            </w:r>
          </w:p>
        </w:tc>
        <w:tc>
          <w:tcPr>
            <w:tcW w:type="dxa" w:w="2016"/>
            <w:shd w:fill="FAFAF9"/>
            <w:tcMar>
              <w:top w:w="60" w:type="dxa"/>
              <w:bottom w:w="60" w:type="dxa"/>
              <w:left w:w="100" w:type="dxa"/>
              <w:right w:w="100" w:type="dxa"/>
            </w:tcMar>
          </w:tcPr>
          <w:p>
            <w:r>
              <w:rPr>
                <w:rFonts w:ascii="Arial" w:hAnsi="Arial"/>
                <w:color w:val="1C1917"/>
                <w:sz w:val="16"/>
              </w:rPr>
              <w:t>【第二階段擴大至全體系統】</w:t>
            </w:r>
          </w:p>
        </w:tc>
      </w:tr>
      <w:tr>
        <w:tc>
          <w:tcPr>
            <w:tcW w:type="dxa" w:w="2592"/>
            <w:shd w:fill="FFFFFF"/>
            <w:tcMar>
              <w:top w:w="60" w:type="dxa"/>
              <w:bottom w:w="60" w:type="dxa"/>
              <w:left w:w="100" w:type="dxa"/>
              <w:right w:w="100" w:type="dxa"/>
            </w:tcMar>
          </w:tcPr>
          <w:p>
            <w:r>
              <w:rPr>
                <w:rFonts w:ascii="Arial" w:hAnsi="Arial"/>
                <w:color w:val="1C1917"/>
                <w:sz w:val="16"/>
              </w:rPr>
              <w:t>2027 IT 資本預算收斂</w:t>
            </w:r>
          </w:p>
        </w:tc>
        <w:tc>
          <w:tcPr>
            <w:tcW w:type="dxa" w:w="3168"/>
            <w:shd w:fill="FFFFFF"/>
            <w:tcMar>
              <w:top w:w="60" w:type="dxa"/>
              <w:bottom w:w="60" w:type="dxa"/>
              <w:left w:w="100" w:type="dxa"/>
              <w:right w:w="100" w:type="dxa"/>
            </w:tcMar>
          </w:tcPr>
          <w:p>
            <w:r>
              <w:rPr>
                <w:rFonts w:ascii="Arial" w:hAnsi="Arial"/>
                <w:color w:val="1C1917"/>
                <w:sz w:val="16"/>
              </w:rPr>
              <w:t>450 萬主機分段、AWS 年費 38 萬</w:t>
            </w:r>
          </w:p>
        </w:tc>
        <w:tc>
          <w:tcPr>
            <w:tcW w:type="dxa" w:w="2592"/>
            <w:shd w:fill="FFFFFF"/>
            <w:tcMar>
              <w:top w:w="60" w:type="dxa"/>
              <w:bottom w:w="60" w:type="dxa"/>
              <w:left w:w="100" w:type="dxa"/>
              <w:right w:w="100" w:type="dxa"/>
            </w:tcMar>
          </w:tcPr>
          <w:p>
            <w:r>
              <w:rPr>
                <w:rFonts w:ascii="Arial" w:hAnsi="Arial"/>
                <w:color w:val="1C1917"/>
                <w:sz w:val="16"/>
              </w:rPr>
              <w:t>★ 100% 達成 (年省 150 萬折舊)</w:t>
            </w:r>
          </w:p>
        </w:tc>
        <w:tc>
          <w:tcPr>
            <w:tcW w:type="dxa" w:w="2016"/>
            <w:shd w:fill="FFFFFF"/>
            <w:tcMar>
              <w:top w:w="60" w:type="dxa"/>
              <w:bottom w:w="60" w:type="dxa"/>
              <w:left w:w="100" w:type="dxa"/>
              <w:right w:w="100" w:type="dxa"/>
            </w:tcMar>
          </w:tcPr>
          <w:p>
            <w:r>
              <w:rPr>
                <w:rFonts w:ascii="Arial" w:hAnsi="Arial"/>
                <w:color w:val="1C1917"/>
                <w:sz w:val="16"/>
              </w:rPr>
              <w:t>【呈報董事會核准備查】</w:t>
            </w:r>
          </w:p>
        </w:tc>
      </w:tr>
    </w:tbl>
    <w:p>
      <w:pPr>
        <w:spacing w:after="80"/>
      </w:pPr>
    </w:p>
    <w:p>
      <w:pPr>
        <w:spacing w:before="480"/>
      </w:pPr>
    </w:p>
    <w:tbl>
      <w:tblPr>
        <w:tblW w:type="auto" w:w="0"/>
        <w:jc w:val="center"/>
        <w:tblLook w:firstColumn="1" w:firstRow="1" w:lastColumn="0" w:lastRow="0" w:noHBand="0" w:noVBand="1" w:val="04A0"/>
      </w:tblPr>
      <w:tblGrid>
        <w:gridCol w:w="4824"/>
        <w:gridCol w:w="4824"/>
      </w:tblGrid>
      <w:tr>
        <w:tc>
          <w:tcPr>
            <w:tcW w:type="dxa" w:w="4896"/>
            <w:shd w:fill="F5EFEB"/>
            <w:tcMar>
              <w:top w:w="140" w:type="dxa"/>
              <w:bottom w:w="140" w:type="dxa"/>
              <w:left w:w="160" w:type="dxa"/>
              <w:right w:w="160" w:type="dxa"/>
            </w:tcMar>
          </w:tcPr>
          <w:p>
            <w:r>
              <w:rPr>
                <w:b/>
              </w:rPr>
              <w:t>信源全球 (RSI Group) · 計劃主持人</w:t>
              <w:br/>
            </w:r>
            <w:r>
              <w:rPr>
                <w:sz w:val="26"/>
              </w:rPr>
              <w:t>周文津 副總經理</w:t>
              <w:br/>
              <w:br/>
              <w:br/>
            </w:r>
            <w:r>
              <w:t>簽署：_________________________</w:t>
              <w:br/>
              <w:t>日期：2027 年 01 月 29 日</w:t>
            </w:r>
          </w:p>
        </w:tc>
        <w:tc>
          <w:tcPr>
            <w:tcW w:type="dxa" w:w="4896"/>
            <w:shd w:fill="F5EFEB"/>
            <w:tcMar>
              <w:top w:w="140" w:type="dxa"/>
              <w:bottom w:w="140" w:type="dxa"/>
              <w:left w:w="160" w:type="dxa"/>
              <w:right w:w="160" w:type="dxa"/>
            </w:tcMar>
          </w:tcPr>
          <w:p>
            <w:r>
              <w:rPr>
                <w:b/>
              </w:rPr>
              <w:t>蜂巢計畫 (Project Hive) · 執行負責人</w:t>
              <w:br/>
            </w:r>
            <w:r>
              <w:rPr>
                <w:sz w:val="26"/>
              </w:rPr>
              <w:t>Howard Liao Ph.D. 外部顧問</w:t>
              <w:br/>
              <w:br/>
              <w:br/>
            </w:r>
            <w:r>
              <w:t>簽署：_________________________</w:t>
              <w:br/>
              <w:t>日期：2027 年 01 月 29 日</w:t>
            </w:r>
          </w:p>
        </w:tc>
      </w:tr>
    </w:tbl>
    <w:sectPr w:rsidR="00FC693F" w:rsidRPr="0006063C" w:rsidSect="00034616">
      <w:headerReference w:type="default" r:id="rId9"/>
      <w:footerReference w:type="default" r:id="rId10"/>
      <w:pgSz w:w="12240" w:h="15840"/>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A83212"/>
        <w:sz w:val="17"/>
      </w:rPr>
      <w:t>機密文件 · 僅供信源全球高階經營管理委員會與周文津副總經理審閱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16C"/>
        <w:sz w:val="17"/>
      </w:rPr>
      <w:t>信源全球 (RSI Group) · 蜂巢計畫第一階段顧問服務總結報告 ｜ Howard Liao Ph.D.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