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  <w:jc w:val="center"/>
      </w:pPr>
      <w:r>
        <w:rPr>
          <w:rFonts w:ascii="PingFang TC" w:hAnsi="PingFang TC"/>
          <w:b/>
          <w:color w:val="B8860B"/>
          <w:sz w:val="32"/>
        </w:rPr>
        <w:t>【附件二】富宇大地全區地籍配置圖</w:t>
        <w:br/>
        <w:t>暨富宇大境（A2 區）獨立出入地理證明書</w:t>
      </w:r>
    </w:p>
    <w:p>
      <w:pPr>
        <w:spacing w:before="40" w:after="280"/>
        <w:jc w:val="center"/>
      </w:pPr>
      <w:r>
        <w:rPr>
          <w:rFonts w:ascii="PingFang TC" w:hAnsi="PingFang TC"/>
          <w:b/>
          <w:color w:val="DE5814"/>
          <w:sz w:val="19"/>
        </w:rPr>
        <w:t>證明 A2 大境 6 戶面臨公有計畫道路龍社路，出入完全獨立，未途經內部私設巷道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006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附件二_富宇大地全區地籍配置圖_A2大境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62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標的戶別與門牌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1A1D20"/>
          </w:tcPr>
          <w:p>
            <w:r>
              <w:rPr>
                <w:rFonts w:ascii="PingFang TC" w:hAnsi="PingFang TC"/>
                <w:b/>
                <w:color w:val="D4AF37"/>
                <w:sz w:val="17"/>
              </w:rPr>
              <w:t>富宇大境（A2 區）共 6 戶透天別墅（台中市沙鹿區龍社路 595、597、599、601、603、605 號）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臨接道路屬性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直接面臨台中市都市計畫公有道路「龍社路」，路寬充足，人員與車輛直接銜接市區幹道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內部巷道通行關係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完全無需進入或通行富宇大地內部私設巷道（龍社路 628 巷、638 巷、642 巷、646 巷）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共用設施關聯</w:t>
            </w:r>
          </w:p>
        </w:tc>
        <w:tc>
          <w:tcPr>
            <w:tcW w:type="dxa" w:w="7597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shd w:fill="FFFDF5"/>
          </w:tcPr>
          <w:p>
            <w:r>
              <w:rPr>
                <w:rFonts w:ascii="PingFang TC" w:hAnsi="PingFang TC"/>
                <w:color w:val="2D3748"/>
                <w:sz w:val="17"/>
              </w:rPr>
              <w:t>與大社區內部之貨櫃屋管理室、流動廁所、兒童遊樂綠地無物理重疊，具備百分之百獨立使用性</w:t>
            </w:r>
          </w:p>
        </w:tc>
      </w:tr>
      <w:tr>
        <w:tc>
          <w:tcPr>
            <w:tcW w:type="dxa" w:w="2041"/>
            <w:shd w:fill="FFFBEB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b/>
                <w:color w:val="A83212"/>
                <w:sz w:val="17"/>
              </w:rPr>
              <w:t>法定分割結論</w:t>
            </w:r>
          </w:p>
        </w:tc>
        <w:tc>
          <w:tcPr>
            <w:tcW w:type="dxa" w:w="7597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shd w:fill="FAF8F2"/>
          </w:tcPr>
          <w:p>
            <w:r>
              <w:rPr>
                <w:rFonts w:ascii="PingFang TC" w:hAnsi="PingFang TC"/>
                <w:color w:val="2D3748"/>
                <w:sz w:val="17"/>
              </w:rPr>
              <w:t>完全符合《公寓大廈管理條例》第 26 條第 1 項「得獨立使用且能分別成立管理委員會」之構成要件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報告人：Howard Liao Ph.D.  ｜  克林姆金色典藏版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718096"/>
        <w:sz w:val="17"/>
      </w:rPr>
      <w:t>附件二：富宇大地全區地籍圖及出入證明 ｜ 法定附件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