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B8860B"/>
          <w:sz w:val="32"/>
        </w:rPr>
        <w:t>【附件二】富宇大地全區地籍配置圖</w:t>
        <w:br/>
        <w:t>暨富宇大境（A2 區）獨立出入地理證明書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 A2 大境 6 戶面臨公有計畫道路龍社路，出入完全獨立，未途經內部私設巷道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006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附件二_富宇大地全區地籍配置圖_A2大境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62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標的戶別與門牌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  <w:shd w:fill="1A1D20"/>
            <w:shd w:fill="1A1D20"/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富宇大境（A2 區）共 6 戶透天別墅（台中市沙鹿區龍社路 593、595、597、599、601、603 號）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臨接道路屬性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直接面臨台中市都市計畫公有道路「龍社路」，路寬充足，人員與車輛直接銜接市區幹道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內部巷道通行關係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完全無需進入或通行富宇大地內部私設巷道（如 638 巷、642 巷、646 巷等）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共用設施關聯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  <w:shd w:fill="FFFDF5"/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與大社區內部之貨櫃屋管理室、流動廁所、兒童遊樂綠地無物理重疊，具備百分之百獨立使用性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法定分割結論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  <w:shd w:fill="FAF8F2"/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完全符合《公寓大廈管理條例》第 26 條第 1 項「得獨立使用且能分別成立管理委員會」之構成要件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附件二：富宇大地全區地籍圖及出入證明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