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b/>
          <w:color w:val="0F172A"/>
          <w:sz w:val="32"/>
        </w:rPr>
        <w:t>富宇大境（A2 區）獨立分流資產結算事實說明與款項計算書</w:t>
      </w:r>
    </w:p>
    <w:p>
      <w:r/>
      <w:r>
        <w:rPr>
          <w:b/>
        </w:rPr>
        <w:t>編製單位</w:t>
      </w:r>
      <w:r>
        <w:t>：富宇大境 A2 區全體 6 戶區分所有權人</w:t>
      </w:r>
    </w:p>
    <w:p>
      <w:r/>
      <w:r>
        <w:rPr>
          <w:b/>
        </w:rPr>
        <w:t>編製日期</w:t>
      </w:r>
      <w:r>
        <w:t>：中華民國 115 年__________月__________日</w:t>
      </w:r>
    </w:p>
    <w:p>
      <w:r>
        <w:t>---</w:t>
      </w:r>
    </w:p>
    <w:p>
      <w:pPr>
        <w:spacing w:before="160" w:after="40"/>
      </w:pPr>
      <w:r>
        <w:rPr>
          <w:b/>
          <w:color w:val="0F172A"/>
          <w:sz w:val="23"/>
        </w:rPr>
        <w:t>一、專案資產基礎事實（客觀基準數：280,231 元）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b/>
                <w:color w:val="0F172A"/>
                <w:sz w:val="19"/>
              </w:rPr>
              <w:t>項目名稱</w:t>
            </w:r>
          </w:p>
        </w:tc>
        <w:tc>
          <w:tcPr>
            <w:tcW w:type="dxa" w:w="3312"/>
            <w:shd w:fill="F1F5F9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b/>
                <w:color w:val="0F172A"/>
                <w:sz w:val="19"/>
              </w:rPr>
              <w:t>核定本金</w:t>
            </w:r>
          </w:p>
        </w:tc>
        <w:tc>
          <w:tcPr>
            <w:tcW w:type="dxa" w:w="3312"/>
            <w:shd w:fill="F1F5F9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b/>
                <w:color w:val="0F172A"/>
                <w:sz w:val="19"/>
              </w:rPr>
              <w:t>法令定性與財務憑據</w:t>
            </w:r>
          </w:p>
        </w:tc>
      </w:tr>
      <w:tr>
        <w:tc>
          <w:tcPr>
            <w:tcW w:type="dxa" w:w="3312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新光銀行 A2 大境定存單（第 2 筆）</w:t>
            </w:r>
          </w:p>
        </w:tc>
        <w:tc>
          <w:tcPr>
            <w:tcW w:type="dxa" w:w="3312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NT$ 220,231 元</w:t>
            </w:r>
          </w:p>
        </w:tc>
        <w:tc>
          <w:tcPr>
            <w:tcW w:type="dxa" w:w="3312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富宇大地管委會 115 年 5 月例會決議及 9 月財報專單保管之市府核退公款，孳息__________。</w:t>
            </w:r>
          </w:p>
        </w:tc>
      </w:tr>
      <w:tr>
        <w:tc>
          <w:tcPr>
            <w:tcW w:type="dxa" w:w="3312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起造人富宇建設交屋管理基金</w:t>
            </w:r>
          </w:p>
        </w:tc>
        <w:tc>
          <w:tcPr>
            <w:tcW w:type="dxa" w:w="3312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NT$ 60,000 元</w:t>
            </w:r>
          </w:p>
        </w:tc>
        <w:tc>
          <w:tcPr>
            <w:tcW w:type="dxa" w:w="3312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原始交屋時起造人按戶提撥之準備金（每戶 10,000 元 × 6 戶 ＝ 60,000 元）。</w:t>
            </w:r>
          </w:p>
        </w:tc>
      </w:tr>
      <w:tr>
        <w:tc>
          <w:tcPr>
            <w:tcW w:type="dxa" w:w="3312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專案資產本金總額</w:t>
            </w:r>
          </w:p>
        </w:tc>
        <w:tc>
          <w:tcPr>
            <w:tcW w:type="dxa" w:w="3312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NT$ 280,231 元</w:t>
            </w:r>
          </w:p>
        </w:tc>
        <w:tc>
          <w:tcPr>
            <w:tcW w:type="dxa" w:w="3312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未計法定孳息。原始卷宗誤植之 284,731 元全數作廢。</w:t>
            </w:r>
          </w:p>
        </w:tc>
      </w:tr>
    </w:tbl>
    <w:p>
      <w:r>
        <w:t>---</w:t>
      </w:r>
    </w:p>
    <w:p>
      <w:pPr>
        <w:spacing w:before="160" w:after="40"/>
      </w:pPr>
      <w:r>
        <w:rPr>
          <w:b/>
          <w:color w:val="0F172A"/>
          <w:sz w:val="23"/>
        </w:rPr>
        <w:t>二、相對人（管委會）可能主張之扣抵抗辯與防禦策略</w:t>
      </w:r>
    </w:p>
    <w:p>
      <w:r>
        <w:t xml:space="preserve">1. </w:t>
      </w:r>
      <w:r>
        <w:rPr>
          <w:b/>
        </w:rPr>
        <w:t>抗辯一：個別住戶管理費欠繳抵銷</w:t>
      </w:r>
      <w:r/>
    </w:p>
    <w:p>
      <w:r>
        <w:t>- *管委會主張*：若 A2 有住戶欠繳管理費，應自返還基金中扣抵。</w:t>
      </w:r>
    </w:p>
    <w:p>
      <w:r>
        <w:t>- *法律防禦*：依《條例》第 21 條，催繳管理費係個別區權人之債權債務關係，管委會應循督促程序催繳，不得自全體共有之公用基金中作不當聯結扣抵。但為求和解，若有確定欠費戶，得協議由該戶分得之利益額度限額抵充。</w:t>
      </w:r>
    </w:p>
    <w:p>
      <w:r>
        <w:t xml:space="preserve">2. </w:t>
      </w:r>
      <w:r>
        <w:rPr>
          <w:b/>
        </w:rPr>
        <w:t>抗辯二：外包物業保全清潔合約過渡期分攤</w:t>
      </w:r>
      <w:r/>
    </w:p>
    <w:p>
      <w:r>
        <w:t>- *管委會主張*：大社區已簽訂全年度保全與清潔合約（以 241 戶編列），若 A2 退出，將產生合約未滿之空缺分攤損失（預估數萬元）。</w:t>
      </w:r>
    </w:p>
    <w:p>
      <w:r>
        <w:t>- *法律防禦*：A2 自始未要求保全越區巡邏且垃圾自理，大社區物業並未對 A2 提供實質勞務；合約亦得依戶數變動調整。然考量契約過渡期，A2 可同意負擔適度之「過渡行政分攤補貼」以促成和解。</w:t>
      </w:r>
    </w:p>
    <w:p>
      <w:r>
        <w:t xml:space="preserve">3. </w:t>
      </w:r>
      <w:r>
        <w:rPr>
          <w:b/>
        </w:rPr>
        <w:t>抗辯三：合併期間（115/5/14 至今）行政維護管理公攤費</w:t>
      </w:r>
      <w:r/>
    </w:p>
    <w:p>
      <w:r>
        <w:t>- *管委會主張*：自合併登記起至大會決議變更日止，A2 仍具會員身分，應分攤總體行政公攤成本。</w:t>
      </w:r>
    </w:p>
    <w:p>
      <w:r>
        <w:t>- *法律防禦*：A2 未享受任何內部公共水電，但形式上確實共享大社區行政報備資源。A2 同意核實按合理行政成本比例進行逐月扣抵結算。</w:t>
      </w:r>
    </w:p>
    <w:p>
      <w:r>
        <w:t>---</w:t>
      </w:r>
    </w:p>
    <w:p>
      <w:pPr>
        <w:spacing w:before="160" w:after="40"/>
      </w:pPr>
      <w:r>
        <w:rPr>
          <w:b/>
          <w:color w:val="0F172A"/>
          <w:sz w:val="23"/>
        </w:rPr>
        <w:t>三、談判底線與和解方案區間設計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b/>
                <w:color w:val="0F172A"/>
                <w:sz w:val="19"/>
              </w:rPr>
              <w:t>方案級別</w:t>
            </w:r>
          </w:p>
        </w:tc>
        <w:tc>
          <w:tcPr>
            <w:tcW w:type="dxa" w:w="3312"/>
            <w:shd w:fill="F1F5F9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b/>
                <w:color w:val="0F172A"/>
                <w:sz w:val="19"/>
              </w:rPr>
              <w:t>預估結算返還金額</w:t>
            </w:r>
          </w:p>
        </w:tc>
        <w:tc>
          <w:tcPr>
            <w:tcW w:type="dxa" w:w="3312"/>
            <w:shd w:fill="F1F5F9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b/>
                <w:color w:val="0F172A"/>
                <w:sz w:val="19"/>
              </w:rPr>
              <w:t>談判條件與戰略考量</w:t>
            </w:r>
          </w:p>
        </w:tc>
      </w:tr>
      <w:tr>
        <w:tc>
          <w:tcPr>
            <w:tcW w:type="dxa" w:w="3312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方案 A（最優方案）</w:t>
            </w:r>
          </w:p>
        </w:tc>
        <w:tc>
          <w:tcPr>
            <w:tcW w:type="dxa" w:w="3312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280,231 元 ＋ 孳息</w:t>
            </w:r>
          </w:p>
        </w:tc>
        <w:tc>
          <w:tcPr>
            <w:tcW w:type="dxa" w:w="3312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相對人全額移交定存本息與交屋基金；A2 立即切結門前水電自理，免除大社區未來修繕責任。</w:t>
            </w:r>
          </w:p>
        </w:tc>
      </w:tr>
      <w:tr>
        <w:tc>
          <w:tcPr>
            <w:tcW w:type="dxa" w:w="3312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方案 B（合理和解）</w:t>
            </w:r>
          </w:p>
        </w:tc>
        <w:tc>
          <w:tcPr>
            <w:tcW w:type="dxa" w:w="3312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約 250,000 ～ 260,000 元</w:t>
            </w:r>
          </w:p>
        </w:tc>
        <w:tc>
          <w:tcPr>
            <w:tcW w:type="dxa" w:w="3312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A2 自願提撥交屋款中之 20,000～30,000 元作為合約過渡補貼款，兼顧大社區面子，調處委員最易促成和解。</w:t>
            </w:r>
          </w:p>
        </w:tc>
      </w:tr>
      <w:tr>
        <w:tc>
          <w:tcPr>
            <w:tcW w:type="dxa" w:w="3312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方案 C（底線方案）</w:t>
            </w:r>
          </w:p>
        </w:tc>
        <w:tc>
          <w:tcPr>
            <w:tcW w:type="dxa" w:w="3312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220,231 元（保全定存單）</w:t>
            </w:r>
          </w:p>
        </w:tc>
        <w:tc>
          <w:tcPr>
            <w:tcW w:type="dxa" w:w="3312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交屋款 60,000 元同意作為結清歷史管理費與物業合約之對價，換取管委會完全配合將規約修正案排入大會。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Microsoft JhengHei" w:hAnsi="Microsoft JhengHe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