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F172A"/>
          <w:sz w:val="32"/>
        </w:rPr>
        <w:t>富宇大境（A2 區）調處程序風險評估、產權持分查核與備案路徑</w:t>
      </w:r>
    </w:p>
    <w:p>
      <w:r>
        <w:t>#### 一、產權持分關鍵查核：基地公同共有持分對第 53 條主張之深遠影響</w:t>
      </w:r>
    </w:p>
    <w:p>
      <w:r>
        <w:t>送件前必須立即調閱 A2 區 6 戶建物與土地第一類登記謄本，確認 6 戶是否持有社區內部私設道路（如 642 巷）或法定空地之持分：</w:t>
      </w:r>
    </w:p>
    <w:p>
      <w:r>
        <w:t xml:space="preserve">1. </w:t>
      </w:r>
      <w:r>
        <w:rPr>
          <w:b/>
        </w:rPr>
        <w:t>若 A2「無」內部私設道路與空地持分</w:t>
      </w:r>
      <w:r>
        <w:t>：物權上純屬相鄰土地關係，第 53 條「設施無整體不可分性」之論述無懈可擊，調處委員極易採信。</w:t>
      </w:r>
    </w:p>
    <w:p>
      <w:r>
        <w:t xml:space="preserve">2. </w:t>
      </w:r>
      <w:r>
        <w:rPr>
          <w:b/>
        </w:rPr>
        <w:t>若 A2「仍持有」內部共有道路持分</w:t>
      </w:r>
      <w:r>
        <w:t>：管委會必主張產權共有即具不可分性。防禦策略：向調處會說明「物權共有」與「管理範圍」為二事，A2 願切結放棄實質使用權以排除管理依賴，產權處分不影響內部通行，藉此化解物權爭議。</w:t>
      </w:r>
    </w:p>
    <w:p>
      <w:r>
        <w:t>---</w:t>
      </w:r>
    </w:p>
    <w:p>
      <w:r>
        <w:t>#### 二、調處程序之雙重結果與三軌備案路徑評估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路徑順位</w:t>
            </w:r>
          </w:p>
        </w:tc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推動路徑與實施方式</w:t>
            </w:r>
          </w:p>
        </w:tc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法定要件與門檻</w:t>
            </w:r>
          </w:p>
        </w:tc>
        <w:tc>
          <w:tcPr>
            <w:tcW w:type="dxa" w:w="2484"/>
            <w:shd w:fill="F1F5F9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b/>
                <w:color w:val="0F172A"/>
                <w:sz w:val="19"/>
              </w:rPr>
              <w:t>勝算與風險評估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第一軌（最優途徑）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調處成立 ➔ 區權會審議&lt;br&gt;管委會於調處會同意提案，排入大會議程依 §31 審議；流會則轉入 §32 重新召集。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§31 需 161 戶出席；&lt;br&gt;§32 僅需 49 戶出席。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勝算最高 (80%)&lt;br&gt;兼顧合法合規與大社區共識。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第二軌（次佳途徑）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調處不成立 ➔ 住戶連署召集&lt;br&gt;依第 25 條由全體 1/5 區權人連署，請求主委召開臨時大會；不開則報請公所指定召集人。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需富宇大地全區至少 49 戶連署。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勝算中等 (60%)&lt;br&gt;需跨區爭取友善住戶連署支持。</w:t>
            </w:r>
          </w:p>
        </w:tc>
      </w:tr>
      <w:tr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第三軌（最後手段）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司法訴訟（民事確認之訴）&lt;br&gt;訴請法院「確認原告 6 戶與富宇大地管委會管理維護關係不存在」並返還基金。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司法實務高度尊重規約自治，訴訟歷時 1-2 年。</w:t>
            </w:r>
          </w:p>
        </w:tc>
        <w:tc>
          <w:tcPr>
            <w:tcW w:type="dxa" w:w="2484"/>
          </w:tcPr>
          <w:p>
            <w:pPr>
              <w:spacing w:after="40" w:line="276" w:lineRule="auto"/>
            </w:pPr>
            <w:r>
              <w:rPr>
                <w:rFonts w:ascii="Microsoft JhengHei" w:hAnsi="Microsoft JhengHei"/>
                <w:sz w:val="19"/>
              </w:rPr>
              <w:t>勝算偏低 (35-40%)&lt;br&gt;極易遭以規約未變更欠缺保護必要駁回。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JhengHei" w:hAnsi="Microsoft Jheng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