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b/>
          <w:color w:val="0F172A"/>
          <w:sz w:val="32"/>
        </w:rPr>
        <w:t>臺中市住宅發展工程處送件前電詢確認清單</w:t>
      </w:r>
    </w:p>
    <w:p>
      <w:r/>
      <w:r>
        <w:rPr>
          <w:b/>
        </w:rPr>
        <w:t>諮詢單位</w:t>
      </w:r>
      <w:r>
        <w:t>：臺中市政府都發局住宅發展工程處（公寓大廈管理科）</w:t>
      </w:r>
    </w:p>
    <w:p>
      <w:r/>
      <w:r>
        <w:rPr>
          <w:b/>
        </w:rPr>
        <w:t>電話</w:t>
      </w:r>
      <w:r>
        <w:t>：(04) 2228-9111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項次</w:t>
            </w:r>
          </w:p>
        </w:tc>
        <w:tc>
          <w:tcPr>
            <w:tcW w:type="dxa" w:w="2484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查核確認事項</w:t>
            </w:r>
          </w:p>
        </w:tc>
        <w:tc>
          <w:tcPr>
            <w:tcW w:type="dxa" w:w="2484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具體提問話術範例</w:t>
            </w:r>
          </w:p>
        </w:tc>
        <w:tc>
          <w:tcPr>
            <w:tcW w:type="dxa" w:w="2484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追蹤要點</w:t>
            </w:r>
          </w:p>
        </w:tc>
      </w:tr>
      <w:tr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1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受理科室與公文窗口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「請問都發局住宅發展工程處辦理《公寓大廈管理條例》第 59-1 條爭議調處，收件窗口是哪一科？地址送文心路或都發局本部？」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確認確切收件地址與承辦分機。</w:t>
            </w:r>
          </w:p>
        </w:tc>
      </w:tr>
      <w:tr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2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申請事由受理要件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「申請人為 6 戶臨路透天，因第 53 條集居分流管理範圍產生歧見擬申請調處，請求排入大會審議之標的是否屬常態受理範圍？」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防止承辦人以涉及自治為由初審駁回。</w:t>
            </w:r>
          </w:p>
        </w:tc>
      </w:tr>
      <w:tr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3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法定份數與附件要件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「請問調處申請書需正副本各幾份？委任代理人出席是否需提供全體區權人最新登記謄本與印鑑證明？」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備齊正本與委員閱覽副本份數。</w:t>
            </w:r>
          </w:p>
        </w:tc>
      </w:tr>
      <w:tr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4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行政規費與繳納方式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「依臺中市爭議事件調處自治收費標準，申請調處是否需繳納行政規費？金額多少？繳費採臨櫃或匯票？」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確認規費金額，隨公文附上匯票。</w:t>
            </w:r>
          </w:p>
        </w:tc>
      </w:tr>
      <w:tr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5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報備主管轄區釐清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「富宇大地社區 115 年 5 月 14 日報備案，主管機關究竟是『龍井區公所』還是『沙鹿區公所』？」</w:t>
            </w:r>
          </w:p>
        </w:tc>
        <w:tc>
          <w:tcPr>
            <w:tcW w:type="dxa" w:w="2484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終結全卷機關矛盾，鎖定單一轄區公所。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Microsoft JhengHei" w:hAnsi="Microsoft JhengHe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