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40"/>
        <w:jc w:val="center"/>
      </w:pPr>
      <w:r>
        <w:rPr>
          <w:rFonts w:ascii="PingFang TC" w:hAnsi="PingFang TC"/>
          <w:b/>
          <w:color w:val="B8860B"/>
          <w:sz w:val="28"/>
        </w:rPr>
        <w:t>【附件一】法定獨立分割可行性研究報告書</w:t>
      </w:r>
    </w:p>
    <w:p>
      <w:pPr>
        <w:spacing w:after="160"/>
        <w:jc w:val="center"/>
      </w:pPr>
      <w:r>
        <w:rPr>
          <w:rFonts w:ascii="PingFang TC" w:hAnsi="PingFang TC"/>
          <w:color w:val="8C8273"/>
          <w:sz w:val="17"/>
        </w:rPr>
        <w:t>依據《公寓大廈管理條例》第 26 條第 1 項規定編制 ｜ 專案編號：FY-SPLIT-2026-A2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fill="FFFDF5"/>
            <w:tcMar>
              <w:top w:w="60" w:type="dxa"/>
              <w:bottom w:w="60" w:type="dxa"/>
              <w:left w:w="100" w:type="dxa"/>
              <w:right w:w="80" w:type="dxa"/>
            </w:tcMar>
            <w:tcBorders>
              <w:left w:val="single" w:sz="24" w:space="0" w:color="D4AF37"/>
              <w:top w:val="none"/>
              <w:right w:val="none"/>
              <w:bottom w:val="none"/>
            </w:tcBorders>
          </w:tcPr>
          <w:p>
            <w:pPr>
              <w:spacing w:line="276" w:lineRule="auto" w:after="0"/>
            </w:pPr>
            <w:r>
              <w:rPr>
                <w:rFonts w:ascii="PingFang TC" w:hAnsi="PingFang TC"/>
                <w:b/>
                <w:color w:val="B8860B"/>
                <w:sz w:val="18"/>
              </w:rPr>
              <w:t>【專案核心宗旨】</w:t>
              <w:br/>
            </w:r>
            <w:r>
              <w:rPr>
                <w:rFonts w:ascii="PingFang TC" w:hAnsi="PingFang TC"/>
                <w:color w:val="1A1D20"/>
                <w:sz w:val="17"/>
              </w:rPr>
              <w:t>本報告書專為台中市沙鹿區「富宇大境（A2 區，共 6 戶透天別墅）」全體區分所有權人量身編制。針對現行與「富宇大地」六區合併共 241 戶之治理體系進行深度穿透分析。結論明確確立：富宇大境具備 100% 充分且具備法律勝訴優勢之法定獨立分割要件，且分割後對大境 6 戶住戶之財務利益與生活自主權具有壓倒性優勢。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814"/>
            <w:shd w:fill="FFFDF5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B8860B"/>
                <w:sz w:val="17"/>
              </w:rPr>
              <w:t>專案標的</w:t>
            </w:r>
          </w:p>
        </w:tc>
        <w:tc>
          <w:tcPr>
            <w:tcW w:type="dxa" w:w="805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1A1D20"/>
                <w:sz w:val="17"/>
              </w:rPr>
              <w:t>富宇大境（A2 區）透天別墅（龍社路 593、595、597、599、601、603 號，共 6 戶）</w:t>
            </w:r>
          </w:p>
        </w:tc>
      </w:tr>
      <w:tr>
        <w:tc>
          <w:tcPr>
            <w:tcW w:type="dxa" w:w="1814"/>
            <w:shd w:fill="FFFDF5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B8860B"/>
                <w:sz w:val="17"/>
              </w:rPr>
              <w:t>現行管轄體系</w:t>
            </w:r>
          </w:p>
        </w:tc>
        <w:tc>
          <w:tcPr>
            <w:tcW w:type="dxa" w:w="8050"/>
            <w:shd w:fill="FAF8F2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7"/>
              </w:rPr>
              <w:t>富宇大地社區管理委員會（六區合併：A1, A2, B1, B2, C1, C2 共 241 戶）</w:t>
            </w:r>
          </w:p>
        </w:tc>
      </w:tr>
      <w:tr>
        <w:tc>
          <w:tcPr>
            <w:tcW w:type="dxa" w:w="1814"/>
            <w:shd w:fill="FFFDF5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B8860B"/>
                <w:sz w:val="17"/>
              </w:rPr>
              <w:t>核心推動法規</w:t>
            </w:r>
          </w:p>
        </w:tc>
        <w:tc>
          <w:tcPr>
            <w:tcW w:type="dxa" w:w="805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7"/>
              </w:rPr>
              <w:t>《公寓大廈管理條例》第 26 條第 1 項（得獨立使用分別成立管委會）</w:t>
            </w:r>
          </w:p>
        </w:tc>
      </w:tr>
      <w:tr>
        <w:tc>
          <w:tcPr>
            <w:tcW w:type="dxa" w:w="1814"/>
            <w:shd w:fill="FFFDF5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B8860B"/>
                <w:sz w:val="17"/>
              </w:rPr>
              <w:t>關鍵突破事實</w:t>
            </w:r>
          </w:p>
        </w:tc>
        <w:tc>
          <w:tcPr>
            <w:tcW w:type="dxa" w:w="8050"/>
            <w:shd w:fill="FAF8F2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7"/>
              </w:rPr>
              <w:t>A2 大境面臨龍社路公有道路獨立出入，完全不使用社區內部收費子母車（住戶自行等市府垃圾車）</w:t>
            </w:r>
          </w:p>
        </w:tc>
      </w:tr>
      <w:tr>
        <w:tc>
          <w:tcPr>
            <w:tcW w:type="dxa" w:w="1814"/>
            <w:shd w:fill="FFFDF5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B8860B"/>
                <w:sz w:val="17"/>
              </w:rPr>
              <w:t>可分割公款資產</w:t>
            </w:r>
          </w:p>
        </w:tc>
        <w:tc>
          <w:tcPr>
            <w:tcW w:type="dxa" w:w="805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1A1D20"/>
                <w:sz w:val="17"/>
              </w:rPr>
              <w:t>新光銀行 A2 大境定存專單 NT$ 220,231 元 ＋ 富宇交屋管理基金 NT$ 60,000 元（合計逾 28 萬元）</w:t>
            </w:r>
          </w:p>
        </w:tc>
      </w:tr>
      <w:tr>
        <w:tc>
          <w:tcPr>
            <w:tcW w:type="dxa" w:w="1814"/>
            <w:shd w:fill="FFFDF5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B8860B"/>
                <w:sz w:val="17"/>
              </w:rPr>
              <w:t>專案報告人</w:t>
            </w:r>
          </w:p>
        </w:tc>
        <w:tc>
          <w:tcPr>
            <w:tcW w:type="dxa" w:w="8050"/>
            <w:shd w:fill="FAF8F2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7"/>
              </w:rPr>
              <w:t>廖倫豪 博士（Howard Liao Ph.D.，社區治理諮詢）</w:t>
            </w:r>
          </w:p>
        </w:tc>
      </w:tr>
    </w:tbl>
    <w:p>
      <w:r>
        <w:br w:type="page"/>
      </w:r>
    </w:p>
    <w:p>
      <w:pPr>
        <w:spacing w:before="120" w:after="40"/>
      </w:pPr>
      <w:r>
        <w:rPr>
          <w:rFonts w:ascii="PingFang TC" w:hAnsi="PingFang TC"/>
          <w:b/>
          <w:color w:val="B8860B"/>
          <w:sz w:val="21"/>
        </w:rPr>
        <w:t>【執行摘要：富宇大境法定獨立分割核心結論】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fill="FFFDF5"/>
            <w:tcMar>
              <w:top w:w="60" w:type="dxa"/>
              <w:bottom w:w="60" w:type="dxa"/>
              <w:left w:w="100" w:type="dxa"/>
              <w:right w:w="80" w:type="dxa"/>
            </w:tcMar>
            <w:tcBorders>
              <w:left w:val="single" w:sz="24" w:space="0" w:color="D4AF37"/>
              <w:top w:val="none"/>
              <w:right w:val="none"/>
              <w:bottom w:val="none"/>
            </w:tcBorders>
          </w:tcPr>
          <w:p>
            <w:pPr>
              <w:spacing w:line="276" w:lineRule="auto" w:after="0"/>
            </w:pPr>
            <w:r>
              <w:rPr>
                <w:rFonts w:ascii="PingFang TC" w:hAnsi="PingFang TC"/>
                <w:b/>
                <w:color w:val="B8860B"/>
                <w:sz w:val="18"/>
              </w:rPr>
              <w:t>【四大核心結論摘要】</w:t>
              <w:br/>
            </w:r>
            <w:r>
              <w:rPr>
                <w:rFonts w:ascii="PingFang TC" w:hAnsi="PingFang TC"/>
                <w:color w:val="1A1D20"/>
                <w:sz w:val="17"/>
              </w:rPr>
              <w:t>1. 地理出入完全獨立：A2 大境 6 戶門牌臨龍社路公有計畫道路，出入絕不途經富宇大地內部私設巷道（如 642 巷等）。</w:t>
              <w:br/>
              <w:t>2. 垃圾清運完全非依賴：大境住戶門前即可直接等待台中市環保局公有垃圾車，完全未使用大社區內部睿豐每週二次之收費子母車。</w:t>
              <w:br/>
              <w:t>3. 產權專款明確具備憑據：新光銀行專戶已將「A2 大境定存」獨立開單為 NT$ 220,231 元，產權歸屬毫無爭議。</w:t>
              <w:br/>
              <w:t>4. 管理費負擔實質減半：獨立後大境 6 戶無需分攤大社區 7 萬物業經理與 5 萬清運費，每戶每月管理費可自 $1,000 降至 $400，帳上更坐擁 28 萬餘元充裕公款儲備！</w:t>
            </w:r>
          </w:p>
        </w:tc>
      </w:tr>
    </w:tbl>
    <w:p>
      <w:pPr>
        <w:spacing w:before="120" w:after="40"/>
      </w:pPr>
      <w:r>
        <w:rPr>
          <w:rFonts w:ascii="PingFang TC" w:hAnsi="PingFang TC"/>
          <w:b/>
          <w:color w:val="B8860B"/>
          <w:sz w:val="21"/>
        </w:rPr>
        <w:t>第壹章：專案緣起與六區合併現況體檢</w:t>
      </w:r>
    </w:p>
    <w:p>
      <w:pPr>
        <w:spacing w:before="80" w:after="20"/>
      </w:pPr>
      <w:r>
        <w:rPr>
          <w:rFonts w:ascii="PingFang TC" w:hAnsi="PingFang TC"/>
          <w:b/>
          <w:color w:val="D4AF37"/>
          <w:sz w:val="18"/>
        </w:rPr>
        <w:t>1.1 社區歷史演進與六區合併背景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富宇大地社區最初係由原「大境 (A2)、上境 (A1)、悠境 (B2)、澄境 (C2)」等 4 個獨立別墅案組合而成。至 115 年 1 月 24 日，「好境 (B1)、清境 (C1)」決議合併成立聯合管理委員會。於 115 年 4 月 18 日完成六區合併程序，並於 4 月 28 日完成組織報備，5 月 14 日獲台中市龍井區公所合法核准備查。</w:t>
      </w:r>
    </w:p>
    <w:p>
      <w:pPr>
        <w:spacing w:before="80" w:after="20"/>
      </w:pPr>
      <w:r>
        <w:rPr>
          <w:rFonts w:ascii="PingFang TC" w:hAnsi="PingFang TC"/>
          <w:b/>
          <w:color w:val="D4AF37"/>
          <w:sz w:val="18"/>
        </w:rPr>
        <w:t>1.2 六區地緣與戶數配置失衡現況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依據 115 年度官方地籍配置圖，全社區 241 戶分布極不均勻，大境僅佔極小比例：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fill="1A1D20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D4AF37"/>
                <w:sz w:val="16"/>
              </w:rPr>
              <w:t>分區代號</w:t>
            </w:r>
          </w:p>
        </w:tc>
        <w:tc>
          <w:tcPr>
            <w:tcW w:type="dxa" w:w="1973"/>
            <w:shd w:fill="1A1D20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D4AF37"/>
                <w:sz w:val="16"/>
              </w:rPr>
              <w:t>分區名稱</w:t>
            </w:r>
          </w:p>
        </w:tc>
        <w:tc>
          <w:tcPr>
            <w:tcW w:type="dxa" w:w="1973"/>
            <w:shd w:fill="1A1D20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D4AF37"/>
                <w:sz w:val="16"/>
              </w:rPr>
              <w:t>總戶數</w:t>
            </w:r>
          </w:p>
        </w:tc>
        <w:tc>
          <w:tcPr>
            <w:tcW w:type="dxa" w:w="1973"/>
            <w:shd w:fill="1A1D20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D4AF37"/>
                <w:sz w:val="16"/>
              </w:rPr>
              <w:t>戶數佔比</w:t>
            </w:r>
          </w:p>
        </w:tc>
        <w:tc>
          <w:tcPr>
            <w:tcW w:type="dxa" w:w="1973"/>
            <w:shd w:fill="1A1D20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D4AF37"/>
                <w:sz w:val="16"/>
              </w:rPr>
              <w:t>地理出入與共用特徵</w:t>
            </w:r>
          </w:p>
        </w:tc>
      </w:tr>
      <w:tr>
        <w:tc>
          <w:tcPr>
            <w:tcW w:type="dxa" w:w="1973"/>
            <w:shd w:fill="FFFDF5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B8860B"/>
                <w:sz w:val="16"/>
              </w:rPr>
              <w:t>A2 區</w:t>
            </w:r>
          </w:p>
        </w:tc>
        <w:tc>
          <w:tcPr>
            <w:tcW w:type="dxa" w:w="1973"/>
            <w:shd w:fill="FFFDF5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B8860B"/>
                <w:sz w:val="16"/>
              </w:rPr>
              <w:t>富宇大境 (本專案)</w:t>
            </w:r>
          </w:p>
        </w:tc>
        <w:tc>
          <w:tcPr>
            <w:tcW w:type="dxa" w:w="1973"/>
            <w:shd w:fill="FFFDF5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B8860B"/>
                <w:sz w:val="16"/>
              </w:rPr>
              <w:t>6 戶</w:t>
            </w:r>
          </w:p>
        </w:tc>
        <w:tc>
          <w:tcPr>
            <w:tcW w:type="dxa" w:w="1973"/>
            <w:shd w:fill="FFFDF5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B8860B"/>
                <w:sz w:val="16"/>
              </w:rPr>
              <w:t>2.49%</w:t>
            </w:r>
          </w:p>
        </w:tc>
        <w:tc>
          <w:tcPr>
            <w:tcW w:type="dxa" w:w="1973"/>
            <w:shd w:fill="FFFDF5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B8860B"/>
                <w:sz w:val="16"/>
              </w:rPr>
              <w:t>面臨龍社路公有道路，獨立出入，完全不經過社區巷道</w:t>
            </w:r>
          </w:p>
        </w:tc>
      </w:tr>
      <w:tr>
        <w:tc>
          <w:tcPr>
            <w:tcW w:type="dxa" w:w="1973"/>
            <w:shd w:fill="FAF8F2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A1 區</w:t>
            </w:r>
          </w:p>
        </w:tc>
        <w:tc>
          <w:tcPr>
            <w:tcW w:type="dxa" w:w="1973"/>
            <w:shd w:fill="FAF8F2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富宇上境</w:t>
            </w:r>
          </w:p>
        </w:tc>
        <w:tc>
          <w:tcPr>
            <w:tcW w:type="dxa" w:w="1973"/>
            <w:shd w:fill="FAF8F2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13 戶</w:t>
            </w:r>
          </w:p>
        </w:tc>
        <w:tc>
          <w:tcPr>
            <w:tcW w:type="dxa" w:w="1973"/>
            <w:shd w:fill="FAF8F2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5.39%</w:t>
            </w:r>
          </w:p>
        </w:tc>
        <w:tc>
          <w:tcPr>
            <w:tcW w:type="dxa" w:w="1973"/>
            <w:shd w:fill="FAF8F2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面臨龍社路公有道路，獨立出入</w:t>
            </w:r>
          </w:p>
        </w:tc>
      </w:tr>
      <w:tr>
        <w:tc>
          <w:tcPr>
            <w:tcW w:type="dxa" w:w="1973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B1 區</w:t>
            </w:r>
          </w:p>
        </w:tc>
        <w:tc>
          <w:tcPr>
            <w:tcW w:type="dxa" w:w="1973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富宇好境</w:t>
            </w:r>
          </w:p>
        </w:tc>
        <w:tc>
          <w:tcPr>
            <w:tcW w:type="dxa" w:w="1973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42 戶</w:t>
            </w:r>
          </w:p>
        </w:tc>
        <w:tc>
          <w:tcPr>
            <w:tcW w:type="dxa" w:w="1973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17.43%</w:t>
            </w:r>
          </w:p>
        </w:tc>
        <w:tc>
          <w:tcPr>
            <w:tcW w:type="dxa" w:w="1973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經由龍社路內部私設巷道進出，高度共用巷道與環保室</w:t>
            </w:r>
          </w:p>
        </w:tc>
      </w:tr>
      <w:tr>
        <w:tc>
          <w:tcPr>
            <w:tcW w:type="dxa" w:w="1973"/>
            <w:shd w:fill="FAF8F2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B2 區</w:t>
            </w:r>
          </w:p>
        </w:tc>
        <w:tc>
          <w:tcPr>
            <w:tcW w:type="dxa" w:w="1973"/>
            <w:shd w:fill="FAF8F2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富宇悠境</w:t>
            </w:r>
          </w:p>
        </w:tc>
        <w:tc>
          <w:tcPr>
            <w:tcW w:type="dxa" w:w="1973"/>
            <w:shd w:fill="FAF8F2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55 戶</w:t>
            </w:r>
          </w:p>
        </w:tc>
        <w:tc>
          <w:tcPr>
            <w:tcW w:type="dxa" w:w="1973"/>
            <w:shd w:fill="FAF8F2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22.82%</w:t>
            </w:r>
          </w:p>
        </w:tc>
        <w:tc>
          <w:tcPr>
            <w:tcW w:type="dxa" w:w="1973"/>
            <w:shd w:fill="FAF8F2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經由龍社路內部私設巷道進出，深處社區</w:t>
            </w:r>
          </w:p>
        </w:tc>
      </w:tr>
      <w:tr>
        <w:tc>
          <w:tcPr>
            <w:tcW w:type="dxa" w:w="1973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C1 區</w:t>
            </w:r>
          </w:p>
        </w:tc>
        <w:tc>
          <w:tcPr>
            <w:tcW w:type="dxa" w:w="1973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富宇清境</w:t>
            </w:r>
          </w:p>
        </w:tc>
        <w:tc>
          <w:tcPr>
            <w:tcW w:type="dxa" w:w="1973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66 戶</w:t>
            </w:r>
          </w:p>
        </w:tc>
        <w:tc>
          <w:tcPr>
            <w:tcW w:type="dxa" w:w="1973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27.39%</w:t>
            </w:r>
          </w:p>
        </w:tc>
        <w:tc>
          <w:tcPr>
            <w:tcW w:type="dxa" w:w="1973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經由龍社路 642 巷內部巷道進出，最大戶數聚落</w:t>
            </w:r>
          </w:p>
        </w:tc>
      </w:tr>
      <w:tr>
        <w:tc>
          <w:tcPr>
            <w:tcW w:type="dxa" w:w="1973"/>
            <w:shd w:fill="FAF8F2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C2 區</w:t>
            </w:r>
          </w:p>
        </w:tc>
        <w:tc>
          <w:tcPr>
            <w:tcW w:type="dxa" w:w="1973"/>
            <w:shd w:fill="FAF8F2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富宇澄境</w:t>
            </w:r>
          </w:p>
        </w:tc>
        <w:tc>
          <w:tcPr>
            <w:tcW w:type="dxa" w:w="1973"/>
            <w:shd w:fill="FAF8F2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59 戶</w:t>
            </w:r>
          </w:p>
        </w:tc>
        <w:tc>
          <w:tcPr>
            <w:tcW w:type="dxa" w:w="1973"/>
            <w:shd w:fill="FAF8F2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24.48%</w:t>
            </w:r>
          </w:p>
        </w:tc>
        <w:tc>
          <w:tcPr>
            <w:tcW w:type="dxa" w:w="1973"/>
            <w:shd w:fill="FAF8F2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經由龍社路 642、646 巷進出，內部大型聚落</w:t>
            </w:r>
          </w:p>
        </w:tc>
      </w:tr>
    </w:tbl>
    <w:p>
      <w:r>
        <w:br w:type="page"/>
      </w:r>
    </w:p>
    <w:p>
      <w:pPr>
        <w:spacing w:before="80" w:after="20"/>
      </w:pPr>
      <w:r>
        <w:rPr>
          <w:rFonts w:ascii="PingFang TC" w:hAnsi="PingFang TC"/>
          <w:b/>
          <w:color w:val="D4AF37"/>
          <w:sz w:val="18"/>
        </w:rPr>
        <w:t>1.3 A2 大境現行「利益嚴重不對等」財務困境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A2 大境僅 6 戶，在 241 戶的管委會體系中話語權僅佔 2.49%，處於絕對弱勢邊緣。更嚴重的是財務上的『巨額逆向補貼』：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1. 每年繳交 7.2 萬元管理費（6戶 × $1,000 × 12個月）：全數流入大社區經常門水庫。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2. 補貼大社區內部垃圾子母車：睿豐清運每月耗費約 4.8 萬元（每週兩次 6 桶，每桶 $1,000）。大境住戶自己走幾步路在龍社路等免費公有垃圾車，根本沒有使用子母車，卻每年幫大社區分攤垃圾處理費！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3. 補貼巷道深處之物業經理薪水：福爾摩沙物業經理（$70,350/月）常駐於內部貨櫃屋管理室，大境住戶位在最外側龍社路，日常信件大多由郵差按門鈴直送，實質享受到的物業服務近乎於零。</w:t>
      </w:r>
    </w:p>
    <w:p>
      <w:pPr>
        <w:spacing w:before="120" w:after="40"/>
      </w:pPr>
      <w:r>
        <w:rPr>
          <w:rFonts w:ascii="PingFang TC" w:hAnsi="PingFang TC"/>
          <w:b/>
          <w:color w:val="B8860B"/>
          <w:sz w:val="21"/>
        </w:rPr>
        <w:t>第貳章：法定分割之法理依據與三大核心王牌</w:t>
      </w:r>
    </w:p>
    <w:p>
      <w:pPr>
        <w:spacing w:before="80" w:after="20"/>
      </w:pPr>
      <w:r>
        <w:rPr>
          <w:rFonts w:ascii="PingFang TC" w:hAnsi="PingFang TC"/>
          <w:b/>
          <w:color w:val="D4AF37"/>
          <w:sz w:val="18"/>
        </w:rPr>
        <w:t>2.1 《公寓大廈管理條例》第 26 條與內政部權威函釋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按《公寓大廈管理條例》第 26 條第 1 項明定：「多數各自獨立使用之建築物、公寓大廈……如各該區得獨立使用且能分別成立管理委員會者，得分別成立管理委員會。」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fill="FFFDF5"/>
            <w:tcMar>
              <w:top w:w="60" w:type="dxa"/>
              <w:bottom w:w="60" w:type="dxa"/>
              <w:left w:w="100" w:type="dxa"/>
              <w:right w:w="80" w:type="dxa"/>
            </w:tcMar>
            <w:tcBorders>
              <w:left w:val="single" w:sz="24" w:space="0" w:color="D4AF37"/>
              <w:top w:val="none"/>
              <w:right w:val="none"/>
              <w:bottom w:val="none"/>
            </w:tcBorders>
          </w:tcPr>
          <w:p>
            <w:pPr>
              <w:spacing w:line="276" w:lineRule="auto" w:after="0"/>
            </w:pPr>
            <w:r>
              <w:rPr>
                <w:rFonts w:ascii="PingFang TC" w:hAnsi="PingFang TC"/>
                <w:b/>
                <w:color w:val="B8860B"/>
                <w:sz w:val="18"/>
              </w:rPr>
              <w:t>【中央主管法規依據】</w:t>
              <w:br/>
            </w:r>
            <w:r>
              <w:rPr>
                <w:rFonts w:ascii="PingFang TC" w:hAnsi="PingFang TC"/>
                <w:color w:val="1A1D20"/>
                <w:sz w:val="17"/>
              </w:rPr>
              <w:t>【中央主管機關權威函釋定海神針】</w:t>
              <w:br/>
              <w:t>1. 內政部 86 年台內營字第 8673955 號函釋：「公寓大廈管理條例第 26 條所稱『各該區』，係指『得各自獨立使用且能分別成立管理委員會之各該分區自身』，由該分區全體區權人具名立案分別成立管理委員會，毋庸經全集居地區母體全體住戶多數決。」</w:t>
              <w:br/>
              <w:t>2. 內政部 90 年台內營字第 9085521 號函釋：「透天建築物臨接既成道路或計畫道路，生活公設互不依賴者，主管機關應准予辦理獨立報備。」</w:t>
              <w:br/>
              <w:t>據此，A2 大境 6 戶本於法理享有 100% 絕對自主分割權，絕非受制於母體 241 戶之多數決！</w:t>
            </w:r>
          </w:p>
        </w:tc>
      </w:tr>
    </w:tbl>
    <w:p>
      <w:pPr>
        <w:spacing w:before="80" w:after="20"/>
      </w:pPr>
      <w:r>
        <w:rPr>
          <w:rFonts w:ascii="PingFang TC" w:hAnsi="PingFang TC"/>
          <w:b/>
          <w:color w:val="D4AF37"/>
          <w:sz w:val="18"/>
        </w:rPr>
        <w:t>2.2 核心王牌一：免用子母車，環保自理之完全非依賴性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在所有分割爭議中，大社區管委會最常阻擋分割的理由即為『共用垃圾儲存設施（環保室）』。然而在富宇大地，A2 大境擁有絕對的抗辯王牌：龍社路為台中市環保局公有垃圾車定時定點行經路線。大境 6 戶出門即可投遞，平日均自行等垃圾車，完全無人使用內部收費子母車。大境 6 戶並出具《環保自理切結書》，自願放棄使用原環保室，直接瓦解『公設具有不可分性』之抗辯！</w:t>
      </w:r>
    </w:p>
    <w:p>
      <w:pPr>
        <w:spacing w:before="80" w:after="20"/>
      </w:pPr>
      <w:r>
        <w:rPr>
          <w:rFonts w:ascii="PingFang TC" w:hAnsi="PingFang TC"/>
          <w:b/>
          <w:color w:val="D4AF37"/>
          <w:sz w:val="18"/>
        </w:rPr>
        <w:t>2.3 核心王牌二：臨龍社路公有道路，水電排污完全物理獨立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A2 大境 6 戶基地臨接公有計畫道路龍社路，出入交通直接銜接市區幹道，完全不需要通行大社區內部私設巷道（如 642 巷等）。且全區自來水、用電、排污化糞系統均由公用幹管直供或獨立自理，完全無接入或依賴大社區內部加壓受水池或抽水機電設備，具備百分之百之物理獨立性。</w:t>
      </w:r>
    </w:p>
    <w:p>
      <w:pPr>
        <w:spacing w:before="80" w:after="20"/>
      </w:pPr>
      <w:r>
        <w:rPr>
          <w:rFonts w:ascii="PingFang TC" w:hAnsi="PingFang TC"/>
          <w:b/>
          <w:color w:val="D4AF37"/>
          <w:sz w:val="18"/>
        </w:rPr>
        <w:t>2.4 核心王牌三：專款定存單獨立立卷，產權劃分清晰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管委會 5 月例會議題四及 9 月財報已將台中市政府核退之公共基金分別辦理定存。其中新光銀行定存單第 2 筆明確載明：『A2 大境區定存，金額 NT$ 220,231 元』，帳目涇渭分明。</w:t>
      </w:r>
    </w:p>
    <w:p>
      <w:r>
        <w:br w:type="page"/>
      </w:r>
    </w:p>
    <w:p>
      <w:pPr>
        <w:spacing w:before="120" w:after="40"/>
      </w:pPr>
      <w:r>
        <w:rPr>
          <w:rFonts w:ascii="PingFang TC" w:hAnsi="PingFang TC"/>
          <w:b/>
          <w:color w:val="B8860B"/>
          <w:sz w:val="21"/>
        </w:rPr>
        <w:t>第參章：財務資產清算與自主預算模型</w:t>
      </w:r>
    </w:p>
    <w:p>
      <w:pPr>
        <w:spacing w:before="80" w:after="20"/>
      </w:pPr>
      <w:r>
        <w:rPr>
          <w:rFonts w:ascii="PingFang TC" w:hAnsi="PingFang TC"/>
          <w:b/>
          <w:color w:val="D4AF37"/>
          <w:sz w:val="18"/>
        </w:rPr>
        <w:t>3.1 A2 大境法定可取回公共基金試算表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依據官方財報與交屋清冊，A2 大境獨立後依法可自母體管委會全額清算取回之資產明細如下：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fill="1A1D20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D4AF37"/>
                <w:sz w:val="16"/>
              </w:rPr>
              <w:t>資產項目</w:t>
            </w:r>
          </w:p>
        </w:tc>
        <w:tc>
          <w:tcPr>
            <w:tcW w:type="dxa" w:w="2466"/>
            <w:shd w:fill="1A1D20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  <w:jc w:val="right"/>
            </w:pPr>
            <w:r>
              <w:rPr>
                <w:rFonts w:ascii="PingFang TC" w:hAnsi="PingFang TC"/>
                <w:b/>
                <w:color w:val="D4AF37"/>
                <w:sz w:val="16"/>
              </w:rPr>
              <w:t>應移交金額 (新台幣)</w:t>
            </w:r>
          </w:p>
        </w:tc>
        <w:tc>
          <w:tcPr>
            <w:tcW w:type="dxa" w:w="2466"/>
            <w:shd w:fill="1A1D20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D4AF37"/>
                <w:sz w:val="16"/>
              </w:rPr>
              <w:t>法定依據與會議記錄證明</w:t>
            </w:r>
          </w:p>
        </w:tc>
        <w:tc>
          <w:tcPr>
            <w:tcW w:type="dxa" w:w="2466"/>
            <w:shd w:fill="1A1D20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D4AF37"/>
                <w:sz w:val="16"/>
              </w:rPr>
              <w:t>移交割離方式</w:t>
            </w:r>
          </w:p>
        </w:tc>
      </w:tr>
      <w:tr>
        <w:tc>
          <w:tcPr>
            <w:tcW w:type="dxa" w:w="246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新光銀行 A2 大境定存單</w:t>
            </w:r>
          </w:p>
        </w:tc>
        <w:tc>
          <w:tcPr>
            <w:tcW w:type="dxa" w:w="246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  <w:jc w:val="right"/>
            </w:pPr>
            <w:r>
              <w:rPr>
                <w:rFonts w:ascii="PingFang TC" w:hAnsi="PingFang TC"/>
                <w:color w:val="1A1D20"/>
                <w:sz w:val="16"/>
              </w:rPr>
              <w:t>NT$ 220,231 元</w:t>
              <w:br/>
              <w:t>(含孳生利息)</w:t>
            </w:r>
          </w:p>
        </w:tc>
        <w:tc>
          <w:tcPr>
            <w:tcW w:type="dxa" w:w="246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115.05.06 例會議題四決議</w:t>
              <w:br/>
              <w:t>115.09.08 例會財務報表</w:t>
            </w:r>
          </w:p>
        </w:tc>
        <w:tc>
          <w:tcPr>
            <w:tcW w:type="dxa" w:w="246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定存解約或辦理存單抬頭更名移轉予富宇大境管委會專戶</w:t>
            </w:r>
          </w:p>
        </w:tc>
      </w:tr>
      <w:tr>
        <w:tc>
          <w:tcPr>
            <w:tcW w:type="dxa" w:w="2466"/>
            <w:shd w:fill="FAF8F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富宇建設交屋管理基金</w:t>
            </w:r>
          </w:p>
        </w:tc>
        <w:tc>
          <w:tcPr>
            <w:tcW w:type="dxa" w:w="2466"/>
            <w:shd w:fill="FAF8F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  <w:jc w:val="right"/>
            </w:pPr>
            <w:r>
              <w:rPr>
                <w:rFonts w:ascii="PingFang TC" w:hAnsi="PingFang TC"/>
                <w:color w:val="1A1D20"/>
                <w:sz w:val="16"/>
              </w:rPr>
              <w:t>NT$ 60,000 元</w:t>
              <w:br/>
              <w:t>($10,000 × 6 戶)</w:t>
            </w:r>
          </w:p>
        </w:tc>
        <w:tc>
          <w:tcPr>
            <w:tcW w:type="dxa" w:w="2466"/>
            <w:shd w:fill="FAF8F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115.05.05 富宇支票 241 萬入帳</w:t>
              <w:br/>
              <w:t>(241 戶每戶 1 萬交屋基金)</w:t>
            </w:r>
          </w:p>
        </w:tc>
        <w:tc>
          <w:tcPr>
            <w:tcW w:type="dxa" w:w="2466"/>
            <w:shd w:fill="FAF8F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由母體管委會開立支票返還 A2 大境 6 戶交屋管理基金</w:t>
            </w:r>
          </w:p>
        </w:tc>
      </w:tr>
      <w:tr>
        <w:tc>
          <w:tcPr>
            <w:tcW w:type="dxa" w:w="246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5~9 月管理費結餘退款</w:t>
            </w:r>
          </w:p>
        </w:tc>
        <w:tc>
          <w:tcPr>
            <w:tcW w:type="dxa" w:w="246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  <w:jc w:val="right"/>
            </w:pPr>
            <w:r>
              <w:rPr>
                <w:rFonts w:ascii="PingFang TC" w:hAnsi="PingFang TC"/>
                <w:color w:val="1A1D20"/>
                <w:sz w:val="16"/>
              </w:rPr>
              <w:t>約 NT$ 4,500 元</w:t>
              <w:br/>
              <w:t>(會計清算結餘)</w:t>
            </w:r>
          </w:p>
        </w:tc>
        <w:tc>
          <w:tcPr>
            <w:tcW w:type="dxa" w:w="246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A2 繳交 30,000 元，扣除公設水電攤提之結餘</w:t>
            </w:r>
          </w:p>
        </w:tc>
        <w:tc>
          <w:tcPr>
            <w:tcW w:type="dxa" w:w="246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經監察委員與財務委員清算後由活存專戶電匯撥付</w:t>
            </w:r>
          </w:p>
        </w:tc>
      </w:tr>
      <w:tr>
        <w:tc>
          <w:tcPr>
            <w:tcW w:type="dxa" w:w="2466"/>
            <w:shd w:fill="FFFDF5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B8860B"/>
                <w:sz w:val="16"/>
              </w:rPr>
              <w:t>合計可取回公款總額</w:t>
            </w:r>
          </w:p>
        </w:tc>
        <w:tc>
          <w:tcPr>
            <w:tcW w:type="dxa" w:w="2466"/>
            <w:shd w:fill="FFFDF5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  <w:jc w:val="right"/>
            </w:pPr>
            <w:r>
              <w:rPr>
                <w:rFonts w:ascii="PingFang TC" w:hAnsi="PingFang TC"/>
                <w:b/>
                <w:color w:val="B8860B"/>
                <w:sz w:val="16"/>
              </w:rPr>
              <w:t>NT$ 284,731 元整</w:t>
            </w:r>
          </w:p>
        </w:tc>
        <w:tc>
          <w:tcPr>
            <w:tcW w:type="dxa" w:w="2466"/>
            <w:shd w:fill="FFFDF5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B8860B"/>
                <w:sz w:val="16"/>
              </w:rPr>
              <w:t>大境獨立後之第一筆自有公共基金</w:t>
            </w:r>
          </w:p>
        </w:tc>
        <w:tc>
          <w:tcPr>
            <w:tcW w:type="dxa" w:w="2466"/>
            <w:shd w:fill="FFFDF5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B8860B"/>
                <w:sz w:val="16"/>
              </w:rPr>
              <w:t>開戶後一次性撥入富宇大境專戶</w:t>
            </w:r>
          </w:p>
        </w:tc>
      </w:tr>
    </w:tbl>
    <w:p>
      <w:pPr>
        <w:spacing w:before="80" w:after="20"/>
      </w:pPr>
      <w:r>
        <w:rPr>
          <w:rFonts w:ascii="PingFang TC" w:hAnsi="PingFang TC"/>
          <w:b/>
          <w:color w:val="D4AF37"/>
          <w:sz w:val="18"/>
        </w:rPr>
        <w:t>3.2 分割後大境 6 戶自主財務預算模型（實質負擔腰斬）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獨立成立「富宇大境管委會」後，6 戶透天別墅之維護極度單純。每戶每月管理費可自原先的 $1,000 元調降至 $400 元：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fill="1A1D20"/>
            <w:tcMar>
              <w:top w:w="45" w:type="dxa"/>
              <w:bottom w:w="45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D4AF37"/>
                <w:sz w:val="16"/>
              </w:rPr>
              <w:t>收支項目</w:t>
            </w:r>
          </w:p>
        </w:tc>
        <w:tc>
          <w:tcPr>
            <w:tcW w:type="dxa" w:w="3289"/>
            <w:shd w:fill="1A1D20"/>
            <w:tcMar>
              <w:top w:w="45" w:type="dxa"/>
              <w:bottom w:w="45" w:type="dxa"/>
              <w:left w:w="70" w:type="dxa"/>
              <w:right w:w="70" w:type="dxa"/>
            </w:tcMar>
          </w:tcPr>
          <w:p>
            <w:pPr>
              <w:spacing w:after="0"/>
              <w:jc w:val="right"/>
            </w:pPr>
            <w:r>
              <w:rPr>
                <w:rFonts w:ascii="PingFang TC" w:hAnsi="PingFang TC"/>
                <w:b/>
                <w:color w:val="D4AF37"/>
                <w:sz w:val="16"/>
              </w:rPr>
              <w:t>每月金額 (新台幣)</w:t>
            </w:r>
          </w:p>
        </w:tc>
        <w:tc>
          <w:tcPr>
            <w:tcW w:type="dxa" w:w="3289"/>
            <w:shd w:fill="1A1D20"/>
            <w:tcMar>
              <w:top w:w="45" w:type="dxa"/>
              <w:bottom w:w="45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D4AF37"/>
                <w:sz w:val="16"/>
              </w:rPr>
              <w:t>年度金額 (新台幣) / 說明</w:t>
            </w:r>
          </w:p>
        </w:tc>
      </w:tr>
      <w:tr>
        <w:tc>
          <w:tcPr>
            <w:tcW w:type="dxa" w:w="3289"/>
            <w:shd w:fill="FFFFFF"/>
            <w:tcMar>
              <w:top w:w="45" w:type="dxa"/>
              <w:bottom w:w="45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管理費收入 (以每戶 $400 計算)</w:t>
            </w:r>
          </w:p>
        </w:tc>
        <w:tc>
          <w:tcPr>
            <w:tcW w:type="dxa" w:w="3289"/>
            <w:shd w:fill="FFFFFF"/>
            <w:tcMar>
              <w:top w:w="45" w:type="dxa"/>
              <w:bottom w:w="45" w:type="dxa"/>
              <w:left w:w="70" w:type="dxa"/>
              <w:right w:w="70" w:type="dxa"/>
            </w:tcMar>
          </w:tcPr>
          <w:p>
            <w:pPr>
              <w:spacing w:after="0"/>
              <w:jc w:val="right"/>
            </w:pPr>
            <w:r>
              <w:rPr>
                <w:rFonts w:ascii="PingFang TC" w:hAnsi="PingFang TC"/>
                <w:color w:val="1A1D20"/>
                <w:sz w:val="16"/>
              </w:rPr>
              <w:t>+ NT$ 2,400 元</w:t>
            </w:r>
          </w:p>
        </w:tc>
        <w:tc>
          <w:tcPr>
            <w:tcW w:type="dxa" w:w="3289"/>
            <w:shd w:fill="FFFFFF"/>
            <w:tcMar>
              <w:top w:w="45" w:type="dxa"/>
              <w:bottom w:w="45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+ NT$ 28,800 元 (6 戶全收，負擔大幅減輕 60%)</w:t>
            </w:r>
          </w:p>
        </w:tc>
      </w:tr>
      <w:tr>
        <w:tc>
          <w:tcPr>
            <w:tcW w:type="dxa" w:w="3289"/>
            <w:shd w:fill="FAF8F2"/>
            <w:tcMar>
              <w:top w:w="45" w:type="dxa"/>
              <w:bottom w:w="45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公共路燈與設施用電 (台電分攤)</w:t>
            </w:r>
          </w:p>
        </w:tc>
        <w:tc>
          <w:tcPr>
            <w:tcW w:type="dxa" w:w="3289"/>
            <w:shd w:fill="FAF8F2"/>
            <w:tcMar>
              <w:top w:w="45" w:type="dxa"/>
              <w:bottom w:w="45" w:type="dxa"/>
              <w:left w:w="70" w:type="dxa"/>
              <w:right w:w="70" w:type="dxa"/>
            </w:tcMar>
          </w:tcPr>
          <w:p>
            <w:pPr>
              <w:spacing w:after="0"/>
              <w:jc w:val="right"/>
            </w:pPr>
            <w:r>
              <w:rPr>
                <w:rFonts w:ascii="PingFang TC" w:hAnsi="PingFang TC"/>
                <w:color w:val="1A1D20"/>
                <w:sz w:val="16"/>
              </w:rPr>
              <w:t>- NT$ 400 元</w:t>
            </w:r>
          </w:p>
        </w:tc>
        <w:tc>
          <w:tcPr>
            <w:tcW w:type="dxa" w:w="3289"/>
            <w:shd w:fill="FAF8F2"/>
            <w:tcMar>
              <w:top w:w="45" w:type="dxa"/>
              <w:bottom w:w="45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- NT$ 4,800 元 (僅門前路燈與局部公電)</w:t>
            </w:r>
          </w:p>
        </w:tc>
      </w:tr>
      <w:tr>
        <w:tc>
          <w:tcPr>
            <w:tcW w:type="dxa" w:w="3289"/>
            <w:shd w:fill="FFFFFF"/>
            <w:tcMar>
              <w:top w:w="45" w:type="dxa"/>
              <w:bottom w:w="45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行政雜支與開戶規費</w:t>
            </w:r>
          </w:p>
        </w:tc>
        <w:tc>
          <w:tcPr>
            <w:tcW w:type="dxa" w:w="3289"/>
            <w:shd w:fill="FFFFFF"/>
            <w:tcMar>
              <w:top w:w="45" w:type="dxa"/>
              <w:bottom w:w="45" w:type="dxa"/>
              <w:left w:w="70" w:type="dxa"/>
              <w:right w:w="70" w:type="dxa"/>
            </w:tcMar>
          </w:tcPr>
          <w:p>
            <w:pPr>
              <w:spacing w:after="0"/>
              <w:jc w:val="right"/>
            </w:pPr>
            <w:r>
              <w:rPr>
                <w:rFonts w:ascii="PingFang TC" w:hAnsi="PingFang TC"/>
                <w:color w:val="1A1D20"/>
                <w:sz w:val="16"/>
              </w:rPr>
              <w:t>- NT$ 200 元</w:t>
            </w:r>
          </w:p>
        </w:tc>
        <w:tc>
          <w:tcPr>
            <w:tcW w:type="dxa" w:w="3289"/>
            <w:shd w:fill="FFFFFF"/>
            <w:tcMar>
              <w:top w:w="45" w:type="dxa"/>
              <w:bottom w:w="45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- NT$ 2,400 元 (文具、郵資、印鑑保管)</w:t>
            </w:r>
          </w:p>
        </w:tc>
      </w:tr>
      <w:tr>
        <w:tc>
          <w:tcPr>
            <w:tcW w:type="dxa" w:w="3289"/>
            <w:shd w:fill="FAF8F2"/>
            <w:tcMar>
              <w:top w:w="45" w:type="dxa"/>
              <w:bottom w:w="45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垃圾清運支出</w:t>
            </w:r>
          </w:p>
        </w:tc>
        <w:tc>
          <w:tcPr>
            <w:tcW w:type="dxa" w:w="3289"/>
            <w:shd w:fill="FAF8F2"/>
            <w:tcMar>
              <w:top w:w="45" w:type="dxa"/>
              <w:bottom w:w="45" w:type="dxa"/>
              <w:left w:w="70" w:type="dxa"/>
              <w:right w:w="70" w:type="dxa"/>
            </w:tcMar>
          </w:tcPr>
          <w:p>
            <w:pPr>
              <w:spacing w:after="0"/>
              <w:jc w:val="right"/>
            </w:pPr>
            <w:r>
              <w:rPr>
                <w:rFonts w:ascii="PingFang TC" w:hAnsi="PingFang TC"/>
                <w:color w:val="1A1D20"/>
                <w:sz w:val="16"/>
              </w:rPr>
              <w:t>NT$ 0 元</w:t>
            </w:r>
          </w:p>
        </w:tc>
        <w:tc>
          <w:tcPr>
            <w:tcW w:type="dxa" w:w="3289"/>
            <w:shd w:fill="FAF8F2"/>
            <w:tcMar>
              <w:top w:w="45" w:type="dxa"/>
              <w:bottom w:w="45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NT$ 0 元 (住戶自行門前等市府公車型垃圾車，完全免花費)</w:t>
            </w:r>
          </w:p>
        </w:tc>
      </w:tr>
      <w:tr>
        <w:tc>
          <w:tcPr>
            <w:tcW w:type="dxa" w:w="3289"/>
            <w:shd w:fill="FFFDF5"/>
            <w:tcMar>
              <w:top w:w="45" w:type="dxa"/>
              <w:bottom w:w="45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B8860B"/>
                <w:sz w:val="16"/>
              </w:rPr>
              <w:t>每月常態盈餘 / 儲備金</w:t>
            </w:r>
          </w:p>
        </w:tc>
        <w:tc>
          <w:tcPr>
            <w:tcW w:type="dxa" w:w="3289"/>
            <w:shd w:fill="FFFDF5"/>
            <w:tcMar>
              <w:top w:w="45" w:type="dxa"/>
              <w:bottom w:w="45" w:type="dxa"/>
              <w:left w:w="70" w:type="dxa"/>
              <w:right w:w="70" w:type="dxa"/>
            </w:tcMar>
          </w:tcPr>
          <w:p>
            <w:pPr>
              <w:spacing w:after="0"/>
              <w:jc w:val="right"/>
            </w:pPr>
            <w:r>
              <w:rPr>
                <w:rFonts w:ascii="PingFang TC" w:hAnsi="PingFang TC"/>
                <w:b/>
                <w:color w:val="B8860B"/>
                <w:sz w:val="16"/>
              </w:rPr>
              <w:t>+ NT$ 1,800 元</w:t>
            </w:r>
          </w:p>
        </w:tc>
        <w:tc>
          <w:tcPr>
            <w:tcW w:type="dxa" w:w="3289"/>
            <w:shd w:fill="FFFDF5"/>
            <w:tcMar>
              <w:top w:w="45" w:type="dxa"/>
              <w:bottom w:w="45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B8860B"/>
                <w:sz w:val="16"/>
              </w:rPr>
              <w:t>+ NT$ 21,600 元 (轉入定存滾存，手頭更有 28 萬老本！)</w:t>
            </w:r>
          </w:p>
        </w:tc>
      </w:tr>
    </w:tbl>
    <w:p>
      <w:r>
        <w:br w:type="page"/>
      </w:r>
    </w:p>
    <w:p>
      <w:pPr>
        <w:spacing w:before="120" w:after="40"/>
      </w:pPr>
      <w:r>
        <w:rPr>
          <w:rFonts w:ascii="PingFang TC" w:hAnsi="PingFang TC"/>
          <w:b/>
          <w:color w:val="B8860B"/>
          <w:sz w:val="21"/>
        </w:rPr>
        <w:t>第肆章：五大推動階段與標準作業程序（SOP）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富宇大境分割之推動，兼顧法律程序的正當性與行政審查的嚴謹性，標準推動 SOP 劃分為五大階段：</w:t>
      </w:r>
    </w:p>
    <w:p>
      <w:pPr>
        <w:spacing w:before="80" w:after="20"/>
      </w:pPr>
      <w:r>
        <w:rPr>
          <w:rFonts w:ascii="PingFang TC" w:hAnsi="PingFang TC"/>
          <w:b/>
          <w:color w:val="D4AF37"/>
          <w:sz w:val="18"/>
        </w:rPr>
        <w:t>階段一：A2 大境內部 100% 連署凝聚（共識準備）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• 召開大境 6 戶客廳會，推選一名專案受託召集人（廖倫豪）。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• 簽署《A2 富宇大境獨立分割連署意向書》（附錄一），取得 6 戶區權人 100% 親筆簽章。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• 確認共識：同意垃圾自行等車、同意追回定存 22 萬與基金 6 萬、推舉管理委員會幹部。</w:t>
      </w:r>
    </w:p>
    <w:p>
      <w:pPr>
        <w:spacing w:before="80" w:after="20"/>
      </w:pPr>
      <w:r>
        <w:rPr>
          <w:rFonts w:ascii="PingFang TC" w:hAnsi="PingFang TC"/>
          <w:b/>
          <w:color w:val="D4AF37"/>
          <w:sz w:val="18"/>
        </w:rPr>
        <w:t>階段二：向富宇大地管委會正式提案（溝通與審議）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• 由受託召集人以書面正式發函向富宇大地第二屆管委會提案，列入例會審議。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• 提案說服核心策略（雙贏話術）：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 xml:space="preserve">  1. 財務無損：大境的 22 萬定存原本就是獨立存單，分割不會掏空大社區原本的 760 萬資金。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 xml:space="preserve">  2. 公設減負：大境退出後，內部 6 桶子母車由 235 戶使用，垃圾容量更充裕、異味更少。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 xml:space="preserve">  3. 管理減壓：物業經理曹鈺芳無需再跨越龍社路巡查大境，大幅減輕巡檢負擔。</w:t>
      </w:r>
    </w:p>
    <w:p>
      <w:pPr>
        <w:spacing w:before="80" w:after="20"/>
      </w:pPr>
      <w:r>
        <w:rPr>
          <w:rFonts w:ascii="PingFang TC" w:hAnsi="PingFang TC"/>
          <w:b/>
          <w:color w:val="D4AF37"/>
          <w:sz w:val="18"/>
        </w:rPr>
        <w:t>階段三：法定程序推進與行政移交（法律生效程序）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• 管委會審議與移交協議：富宇大地管委會於例行會議確認 A2 大境依法分割獨立，簽署資產分割清算協議書，並辦理新光銀行定存與交屋基金移交手續。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• 大境管委會正式成立：A2 大境 6 戶全體區權人依法正式成立『富宇大境管理委員會』，訂定住戶規約、推選管理委員會幹部，並辦理專款專戶接收手續。</w:t>
      </w:r>
    </w:p>
    <w:p>
      <w:pPr>
        <w:spacing w:before="80" w:after="20"/>
      </w:pPr>
      <w:r>
        <w:rPr>
          <w:rFonts w:ascii="PingFang TC" w:hAnsi="PingFang TC"/>
          <w:b/>
          <w:color w:val="D4AF37"/>
          <w:sz w:val="18"/>
        </w:rPr>
        <w:t>階段四：主管機關行政變更與報備（取得法人地位與統編）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• 檢具全體區權人簽署立案公文、修正前後規約、分割協議書、使照影本、地籍圖謄本向主管機關龍井區公所申辦變更備查。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• 申辦富宇大地管委會報備戶數變更（由 241 戶變更為 235 戶）及富宇大境管委會成立組織報備（核准 6 戶）。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• 領取台中市龍井區公所核發之正式《公寓大廈管理組織報備證明》與新統一編號。</w:t>
      </w:r>
    </w:p>
    <w:p>
      <w:pPr>
        <w:spacing w:before="80" w:after="20"/>
      </w:pPr>
      <w:r>
        <w:rPr>
          <w:rFonts w:ascii="PingFang TC" w:hAnsi="PingFang TC"/>
          <w:b/>
          <w:color w:val="D4AF37"/>
          <w:sz w:val="18"/>
        </w:rPr>
        <w:t>階段五：銀行帳戶新設、資產撥付與外包切割（實體割離）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• 新任主委持公所報備證明、統一編號編配通知書、印鑑，至新光銀行開立『富宇大境管理委員會』專戶。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• 富宇大地管委會將定存 220,231 元、管理基金 60,000 元及結餘款全數電匯撥入新專戶。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• 大境正式終止與福爾摩沙物業、品潔清潔、睿豐垃圾清運之權利義務關係，獨立自治運作開始。</w:t>
      </w:r>
    </w:p>
    <w:p>
      <w:r>
        <w:br w:type="page"/>
      </w:r>
    </w:p>
    <w:p>
      <w:pPr>
        <w:spacing w:before="120" w:after="40"/>
      </w:pPr>
      <w:r>
        <w:rPr>
          <w:rFonts w:ascii="PingFang TC" w:hAnsi="PingFang TC"/>
          <w:b/>
          <w:color w:val="B8860B"/>
          <w:sz w:val="21"/>
        </w:rPr>
        <w:t>第伍章：常見法律風險防禦與爭議防範守則</w:t>
      </w:r>
    </w:p>
    <w:p>
      <w:pPr>
        <w:spacing w:before="80" w:after="20"/>
      </w:pPr>
      <w:r>
        <w:rPr>
          <w:rFonts w:ascii="PingFang TC" w:hAnsi="PingFang TC"/>
          <w:b/>
          <w:color w:val="D4AF37"/>
          <w:sz w:val="18"/>
        </w:rPr>
        <w:t>5.1 若管委會拖延拒不配合辦理之法律救濟途徑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若富宇大地管委會因預算考量拖延或拒不配合辦理大境分割案，大境 6 戶可行使以下法定權利破局：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1. 提起《民法》第 824 條裁判分割共有物訴訟：透天別墅基地地號各自獨立，直接向法院訴請終止共有關係。司法判決具備強制執行力，直接取代協議。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2. 向台中市政府住宅處聲請爭議調處：依《公寓大廈管理條例》第 45 條，向主管機關申訴母體管委會違反第 26 條強制合併，由主管機關介入調處。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3. 行使拒繳非必要公設分攤款之民事抗辯：依民事『不當得利』原則，大境未受垃圾子母車之利益，卻遭強迫收取對價，得主張減免管理費。</w:t>
      </w:r>
    </w:p>
    <w:p>
      <w:pPr>
        <w:spacing w:before="80" w:after="20"/>
      </w:pPr>
      <w:r>
        <w:rPr>
          <w:rFonts w:ascii="PingFang TC" w:hAnsi="PingFang TC"/>
          <w:b/>
          <w:color w:val="D4AF37"/>
          <w:sz w:val="18"/>
        </w:rPr>
        <w:t>5.2 貨櫃屋管理室房屋稅與營業稅籍切割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依 8 月例會動議一，貨櫃屋管理室發給 241 戶同意書向台中市沙鹿稅務局申辦房屋稅籍。分割後，A2 大境 6 戶應書面通知管委會與稅務局撤回同意書，貨櫃屋產權與稅負由剩餘 235 戶承擔，大境不再負擔任何營業用稅捐責任。</w:t>
      </w:r>
    </w:p>
    <w:p>
      <w:pPr>
        <w:spacing w:before="120" w:after="40"/>
      </w:pPr>
      <w:r>
        <w:rPr>
          <w:rFonts w:ascii="PingFang TC" w:hAnsi="PingFang TC"/>
          <w:b/>
          <w:color w:val="B8860B"/>
          <w:sz w:val="21"/>
        </w:rPr>
        <w:t>第陸章：法制化必備實體附件與契約範本庫</w:t>
      </w:r>
    </w:p>
    <w:p>
      <w:pPr>
        <w:spacing w:before="80" w:after="20"/>
      </w:pPr>
      <w:r>
        <w:rPr>
          <w:rFonts w:ascii="PingFang TC" w:hAnsi="PingFang TC"/>
          <w:b/>
          <w:color w:val="D4AF37"/>
          <w:sz w:val="18"/>
        </w:rPr>
        <w:t>【範本一】A2 富宇大境 6 戶區分所有權人獨立分割連署意向書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fill="FFFDF5"/>
            <w:tcMar>
              <w:top w:w="60" w:type="dxa"/>
              <w:bottom w:w="60" w:type="dxa"/>
              <w:left w:w="100" w:type="dxa"/>
              <w:right w:w="80" w:type="dxa"/>
            </w:tcMar>
            <w:tcBorders>
              <w:left w:val="single" w:sz="24" w:space="0" w:color="D4AF37"/>
              <w:top w:val="none"/>
              <w:right w:val="none"/>
              <w:bottom w:val="none"/>
            </w:tcBorders>
          </w:tcPr>
          <w:p>
            <w:pPr>
              <w:spacing w:line="276" w:lineRule="auto" w:after="0"/>
            </w:pPr>
            <w:r>
              <w:rPr>
                <w:rFonts w:ascii="PingFang TC" w:hAnsi="PingFang TC"/>
                <w:b/>
                <w:color w:val="B8860B"/>
                <w:sz w:val="18"/>
              </w:rPr>
              <w:t>【法定連署書公文範本】</w:t>
              <w:br/>
            </w:r>
            <w:r>
              <w:rPr>
                <w:rFonts w:ascii="PingFang TC" w:hAnsi="PingFang TC"/>
                <w:color w:val="1A1D20"/>
                <w:sz w:val="17"/>
              </w:rPr>
              <w:t>立連署書人係台中市沙鹿區「富宇大境（A2 區）」全體區分所有權人。緣於本區 6 戶透天別墅面臨龍社路公有計畫道路，人員車輛出入完全獨立；且生活垃圾均自行等候市府垃圾車清運，完全未使用富宇大地社區內部之收費子母車與環保室。為貫徹權責相符與居住自主，依據《公寓大廈管理條例》第 26 條規定，立連署書人一致申請自富宇大地社區管理委員會獨立分割，成立專屬之「富宇大境管理委員會」，並全權委託 廖倫豪 代表本區全體 6 戶辦理提案、協商、資產移交與公所行政報備全般手續。</w:t>
              <w:br/>
              <w:br/>
              <w:t>全體連署人名冊與簽章：</w:t>
              <w:br/>
              <w:t>1. 龍社路 593 號  區權人：_______________  身分證字號：____________  簽章：_________</w:t>
              <w:br/>
              <w:t>2. 龍社路 595 號  區權人：_______________  身分證字號：____________  簽章：_________</w:t>
              <w:br/>
              <w:t>3. 龍社路 597 號  區權人：_______________  身分證字號：____________  簽章：_________</w:t>
              <w:br/>
              <w:t>4. 龍社路 599 號  區權人：_______________  身分證字號：____________  簽章：_________</w:t>
              <w:br/>
              <w:t>5. 龍社路 601 號  區權人：_______________  身分證字號：____________  簽章：_________</w:t>
              <w:br/>
              <w:t>6. 龍社路 603 號  區權人：_______________  身分證字號：____________  簽章：_________</w:t>
              <w:br/>
              <w:t>中華民國 115 年 _____ 月 _____ 日</w:t>
            </w:r>
          </w:p>
        </w:tc>
      </w:tr>
    </w:tbl>
    <w:p>
      <w:r>
        <w:br w:type="page"/>
      </w:r>
    </w:p>
    <w:p>
      <w:pPr>
        <w:spacing w:before="80" w:after="20"/>
      </w:pPr>
      <w:r>
        <w:rPr>
          <w:rFonts w:ascii="PingFang TC" w:hAnsi="PingFang TC"/>
          <w:b/>
          <w:color w:val="D4AF37"/>
          <w:sz w:val="18"/>
        </w:rPr>
        <w:t>【範本二】富宇大地 vs 富宇大境 公共基金與專款資產分割清算協議書（草案）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fill="FFFDF5"/>
            <w:tcMar>
              <w:top w:w="60" w:type="dxa"/>
              <w:bottom w:w="60" w:type="dxa"/>
              <w:left w:w="100" w:type="dxa"/>
              <w:right w:w="80" w:type="dxa"/>
            </w:tcMar>
            <w:tcBorders>
              <w:left w:val="single" w:sz="24" w:space="0" w:color="D4AF37"/>
              <w:top w:val="none"/>
              <w:right w:val="none"/>
              <w:bottom w:val="none"/>
            </w:tcBorders>
          </w:tcPr>
          <w:p>
            <w:pPr>
              <w:spacing w:line="276" w:lineRule="auto" w:after="0"/>
            </w:pPr>
            <w:r>
              <w:rPr>
                <w:rFonts w:ascii="PingFang TC" w:hAnsi="PingFang TC"/>
                <w:b/>
                <w:color w:val="B8860B"/>
                <w:sz w:val="18"/>
              </w:rPr>
              <w:t>【資產清算協議書契約全文】</w:t>
              <w:br/>
            </w:r>
            <w:r>
              <w:rPr>
                <w:rFonts w:ascii="PingFang TC" w:hAnsi="PingFang TC"/>
                <w:color w:val="1A1D20"/>
                <w:sz w:val="17"/>
              </w:rPr>
              <w:t>立協議書人：</w:t>
              <w:br/>
              <w:t>甲方：富宇大地社區管理委員會（法定代表人：馬士傑）</w:t>
              <w:br/>
              <w:t>乙方：富宇大境管理委員會（法定代表人：_______________）</w:t>
              <w:br/>
              <w:br/>
              <w:t>雙方基於《公寓大廈管理條例》第 26 條規定與 A2 大境全體區權人法定獨立分割申請，就 A2 富宇大境（6戶）獨立分割後之資產移交事項，訂立本協議書，條款如下：</w:t>
              <w:br/>
              <w:br/>
              <w:t>第一條（定存專單移交與強制更名授權）：甲方保管於新光銀行之「A2 大境定存專單」（存單本金新台幣 220,231 元整及截至移交日止之孳生利息），甲方同意於簽約後 7 日內辦理存單更名或解約全數匯撥乙方專戶。若甲方未於核准報備後 15 日內配合辦理，自第 16 日起應按法定週年利率 5% 加計遲延利息；且甲方無條件授權乙方憑台中市龍井區公所之獨立報備核准公文，逕向新光銀行沙鹿分行辦理 A2 定存單更名移轉。</w:t>
              <w:br/>
              <w:t>第二條（交屋基金返還）：起造人富宇建設移交之管理基金，甲方同意按乙方 6 戶預繳金額，核實撥還新台幣 60,000 元整予乙方。</w:t>
              <w:br/>
              <w:t>第三條（公設權益割離與生活自理）：乙方自分割生效日起，自願放棄使用甲方內部之垃圾子母車、環保室及貨櫃屋管理室，亦無需再分攤甲方物業、清潔及清運費用。</w:t>
              <w:br/>
              <w:t>第四條（水電機電獨立與外包免責聲明）：乙方自來水、電力、排水系統獨立自理。大境分割生效之次月 1 日起，甲方與福爾摩沙物業、品潔清潔、睿豐清運等外包合約責任自然終止，乙方不負任何連帶追索責任。</w:t>
              <w:br/>
              <w:t>第五條（協議生效要件）：本協議書經雙方用印並經主管機關（台中市龍井區公所）報備通過後生效。</w:t>
              <w:br/>
              <w:br/>
              <w:t>甲方：富宇大地社區管理委員會    主委簽章：__________________</w:t>
              <w:br/>
              <w:t>乙方：富宇大境管理委員會        主委簽章：__________________</w:t>
              <w:br/>
              <w:t>中華民國 115 年 _____ 月 _____ 日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PingFang TC" w:hAnsi="PingFang TC"/>
        <w:color w:val="8C8273"/>
        <w:sz w:val="17"/>
      </w:rPr>
      <w:t xml:space="preserve">報告人：廖倫豪 博士  ｜  第 </w:t>
    </w:r>
    <w:fldSimple w:instr="PAGE">
      <w:r>
        <w:rPr>
          <w:rFonts w:ascii="PingFang TC" w:eastAsia="PingFang TC"/>
          <w:sz w:val="17"/>
          <w:color w:val="8C8273"/>
        </w:rPr>
        <w:t>1</w:t>
      </w:r>
    </w:fldSimple>
    <w:r>
      <w:rPr>
        <w:rFonts w:ascii="PingFang TC" w:hAnsi="PingFang TC"/>
        <w:color w:val="8C8273"/>
        <w:sz w:val="17"/>
      </w:rPr>
      <w:t xml:space="preserve"> 頁  /  共 </w:t>
    </w:r>
    <w:fldSimple w:instr="NUMPAGES">
      <w:r>
        <w:rPr>
          <w:rFonts w:ascii="PingFang TC" w:eastAsia="PingFang TC"/>
          <w:sz w:val="17"/>
          <w:color w:val="8C8273"/>
        </w:rPr>
        <w:t>7</w:t>
      </w:r>
    </w:fldSimple>
    <w:r>
      <w:rPr>
        <w:rFonts w:ascii="PingFang TC" w:hAnsi="PingFang TC"/>
        <w:color w:val="8C8273"/>
        <w:sz w:val="17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PingFang TC" w:hAnsi="PingFang TC"/>
        <w:color w:val="8C8273"/>
        <w:sz w:val="16"/>
      </w:rPr>
      <w:t>附件一：法定獨立分割可行性研究報告書 ｜ 專案編號：FY-SPLIT-2026-A2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