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PingFang TC" w:hAnsi="PingFang TC"/>
          <w:b/>
          <w:color w:val="787369"/>
          <w:sz w:val="24"/>
        </w:rPr>
        <w:t>富宇大境（A2 區）專案研究報告 ｜ 法理實證與治理架構專著</w:t>
      </w:r>
    </w:p>
    <w:p>
      <w:pPr>
        <w:spacing w:before="720" w:after="240"/>
        <w:jc w:val="center"/>
      </w:pPr>
      <w:r>
        <w:rPr>
          <w:rFonts w:ascii="PingFang TC" w:hAnsi="PingFang TC"/>
          <w:b/>
          <w:color w:val="B8860B"/>
          <w:sz w:val="44"/>
        </w:rPr>
        <w:t>富宇大境（A2 區・6 戶）</w:t>
        <w:br/>
        <w:t>自集居社區合意管理分流可行性之</w:t>
        <w:br/>
        <w:t>法理、實證與財務審計研究報告</w:t>
      </w:r>
    </w:p>
    <w:p>
      <w:pPr>
        <w:spacing w:after="800"/>
        <w:jc w:val="center"/>
      </w:pPr>
      <w:r>
        <w:rPr>
          <w:rFonts w:ascii="PingFang TC" w:hAnsi="PingFang TC"/>
          <w:i/>
          <w:color w:val="787369"/>
          <w:sz w:val="21"/>
        </w:rPr>
        <w:t>A Legal, Empirical, and Financial Audit Feasibility Study on Governance De-merger</w:t>
        <w:br/>
        <w:t>and Physical Autonomy for Fuyu Dajing Residential Enclave</w:t>
      </w:r>
    </w:p>
    <w:tbl>
      <w:tblPr>
        <w:tblW w:type="auto" w:w="0"/>
        <w:jc w:val="center"/>
        <w:tblLook w:firstColumn="1" w:firstRow="1" w:lastColumn="0" w:lastRow="0" w:noHBand="0" w:noVBand="1" w:val="04A0"/>
      </w:tblPr>
      <w:tblGrid>
        <w:gridCol w:w="4759"/>
        <w:gridCol w:w="4759"/>
      </w:tblGrid>
      <w:tr>
        <w:tc>
          <w:tcPr>
            <w:tcW w:type="dxa" w:w="2835"/>
            <w:shd w:fill="FFFDF5"/>
            <w:tcMar>
              <w:top w:w="40" w:type="dxa"/>
              <w:bottom w:w="40" w:type="dxa"/>
              <w:left w:w="60" w:type="dxa"/>
              <w:right w:w="60" w:type="dxa"/>
            </w:tcMar>
          </w:tcPr>
          <w:p>
            <w:r>
              <w:rPr>
                <w:rFonts w:ascii="PingFang TC" w:hAnsi="PingFang TC"/>
                <w:b/>
                <w:color w:val="B8860B"/>
                <w:sz w:val="20"/>
              </w:rPr>
              <w:t>研究主持／報告人：</w:t>
            </w:r>
          </w:p>
        </w:tc>
        <w:tc>
          <w:tcPr>
            <w:tcW w:type="dxa" w:w="6236"/>
            <w:shd w:fill="FFFFFF"/>
            <w:tcMar>
              <w:top w:w="40" w:type="dxa"/>
              <w:bottom w:w="40" w:type="dxa"/>
              <w:left w:w="60" w:type="dxa"/>
              <w:right w:w="60" w:type="dxa"/>
            </w:tcMar>
          </w:tcPr>
          <w:p>
            <w:r>
              <w:rPr>
                <w:rFonts w:ascii="PingFang TC" w:hAnsi="PingFang TC"/>
                <w:b/>
                <w:color w:val="1A1D20"/>
                <w:sz w:val="20"/>
              </w:rPr>
              <w:t>廖倫豪 博士（Howard Liao Ph.D.）</w:t>
            </w:r>
          </w:p>
        </w:tc>
      </w:tr>
      <w:tr>
        <w:tc>
          <w:tcPr>
            <w:tcW w:type="dxa" w:w="2835"/>
            <w:shd w:fill="FFFDF5"/>
            <w:tcMar>
              <w:top w:w="40" w:type="dxa"/>
              <w:bottom w:w="40" w:type="dxa"/>
              <w:left w:w="60" w:type="dxa"/>
              <w:right w:w="60" w:type="dxa"/>
            </w:tcMar>
          </w:tcPr>
          <w:p>
            <w:r>
              <w:rPr>
                <w:rFonts w:ascii="PingFang TC" w:hAnsi="PingFang TC"/>
                <w:b/>
                <w:color w:val="B8860B"/>
                <w:sz w:val="20"/>
              </w:rPr>
              <w:t>委任提案主體：</w:t>
            </w:r>
          </w:p>
        </w:tc>
        <w:tc>
          <w:tcPr>
            <w:tcW w:type="dxa" w:w="6236"/>
            <w:shd w:fill="FAF8F2"/>
            <w:tcMar>
              <w:top w:w="40" w:type="dxa"/>
              <w:bottom w:w="40" w:type="dxa"/>
              <w:left w:w="60" w:type="dxa"/>
              <w:right w:w="60" w:type="dxa"/>
            </w:tcMar>
          </w:tcPr>
          <w:p>
            <w:r>
              <w:rPr>
                <w:rFonts w:ascii="PingFang TC" w:hAnsi="PingFang TC"/>
                <w:color w:val="1A1D20"/>
                <w:sz w:val="20"/>
              </w:rPr>
              <w:t>富宇大境（A2 區・6 戶）全體區分所有權人連署小組</w:t>
            </w:r>
          </w:p>
        </w:tc>
      </w:tr>
      <w:tr>
        <w:tc>
          <w:tcPr>
            <w:tcW w:type="dxa" w:w="2835"/>
            <w:shd w:fill="FFFDF5"/>
            <w:tcMar>
              <w:top w:w="40" w:type="dxa"/>
              <w:bottom w:w="40" w:type="dxa"/>
              <w:left w:w="60" w:type="dxa"/>
              <w:right w:w="60" w:type="dxa"/>
            </w:tcMar>
          </w:tcPr>
          <w:p>
            <w:r>
              <w:rPr>
                <w:rFonts w:ascii="PingFang TC" w:hAnsi="PingFang TC"/>
                <w:b/>
                <w:color w:val="B8860B"/>
                <w:sz w:val="20"/>
              </w:rPr>
              <w:t>標的建物範圍：</w:t>
            </w:r>
          </w:p>
        </w:tc>
        <w:tc>
          <w:tcPr>
            <w:tcW w:type="dxa" w:w="6236"/>
            <w:shd w:fill="FFFFFF"/>
            <w:tcMar>
              <w:top w:w="40" w:type="dxa"/>
              <w:bottom w:w="40" w:type="dxa"/>
              <w:left w:w="60" w:type="dxa"/>
              <w:right w:w="60" w:type="dxa"/>
            </w:tcMar>
          </w:tcPr>
          <w:p>
            <w:r>
              <w:rPr>
                <w:rFonts w:ascii="PingFang TC" w:hAnsi="PingFang TC"/>
                <w:color w:val="1A1D20"/>
                <w:sz w:val="20"/>
              </w:rPr>
              <w:t>台中市沙鹿區龍社路 593、595、597、599、601、603 號</w:t>
            </w:r>
          </w:p>
        </w:tc>
      </w:tr>
      <w:tr>
        <w:tc>
          <w:tcPr>
            <w:tcW w:type="dxa" w:w="2835"/>
            <w:shd w:fill="FFFDF5"/>
            <w:tcMar>
              <w:top w:w="40" w:type="dxa"/>
              <w:bottom w:w="40" w:type="dxa"/>
              <w:left w:w="60" w:type="dxa"/>
              <w:right w:w="60" w:type="dxa"/>
            </w:tcMar>
          </w:tcPr>
          <w:p>
            <w:r>
              <w:rPr>
                <w:rFonts w:ascii="PingFang TC" w:hAnsi="PingFang TC"/>
                <w:b/>
                <w:color w:val="B8860B"/>
                <w:sz w:val="20"/>
              </w:rPr>
              <w:t>法定審查與調處機關：</w:t>
            </w:r>
          </w:p>
        </w:tc>
        <w:tc>
          <w:tcPr>
            <w:tcW w:type="dxa" w:w="6236"/>
            <w:shd w:fill="FAF8F2"/>
            <w:tcMar>
              <w:top w:w="40" w:type="dxa"/>
              <w:bottom w:w="40" w:type="dxa"/>
              <w:left w:w="60" w:type="dxa"/>
              <w:right w:w="60" w:type="dxa"/>
            </w:tcMar>
          </w:tcPr>
          <w:p>
            <w:r>
              <w:rPr>
                <w:rFonts w:ascii="PingFang TC" w:hAnsi="PingFang TC"/>
                <w:color w:val="1A1D20"/>
                <w:sz w:val="20"/>
              </w:rPr>
              <w:t>臺中市政府都市發展局（公寓大廈爭議事件調處委員會）</w:t>
            </w:r>
          </w:p>
        </w:tc>
      </w:tr>
      <w:tr>
        <w:tc>
          <w:tcPr>
            <w:tcW w:type="dxa" w:w="2835"/>
            <w:shd w:fill="FFFDF5"/>
            <w:tcMar>
              <w:top w:w="40" w:type="dxa"/>
              <w:bottom w:w="40" w:type="dxa"/>
              <w:left w:w="60" w:type="dxa"/>
              <w:right w:w="60" w:type="dxa"/>
            </w:tcMar>
          </w:tcPr>
          <w:p>
            <w:r>
              <w:rPr>
                <w:rFonts w:ascii="PingFang TC" w:hAnsi="PingFang TC"/>
                <w:b/>
                <w:color w:val="B8860B"/>
                <w:sz w:val="20"/>
              </w:rPr>
              <w:t>研究專案編號：</w:t>
            </w:r>
          </w:p>
        </w:tc>
        <w:tc>
          <w:tcPr>
            <w:tcW w:type="dxa" w:w="6236"/>
            <w:shd w:fill="FFFFFF"/>
            <w:tcMar>
              <w:top w:w="40" w:type="dxa"/>
              <w:bottom w:w="40" w:type="dxa"/>
              <w:left w:w="60" w:type="dxa"/>
              <w:right w:w="60" w:type="dxa"/>
            </w:tcMar>
          </w:tcPr>
          <w:p>
            <w:r>
              <w:rPr>
                <w:rFonts w:ascii="PingFang TC" w:hAnsi="PingFang TC"/>
                <w:color w:val="1A1D20"/>
                <w:sz w:val="20"/>
              </w:rPr>
              <w:t>FY-SPLIT-2026-A2-THESIS-MONOGRAPH</w:t>
            </w:r>
          </w:p>
        </w:tc>
      </w:tr>
    </w:tbl>
    <w:p>
      <w:pPr>
        <w:spacing w:before="900"/>
        <w:jc w:val="center"/>
      </w:pPr>
      <w:r>
        <w:rPr>
          <w:rFonts w:ascii="PingFang TC" w:hAnsi="PingFang TC"/>
          <w:b/>
          <w:color w:val="787369"/>
          <w:sz w:val="21"/>
        </w:rPr>
        <w:t>中華民國 115 年 10 月 ｜ 全文定稿本</w:t>
      </w:r>
    </w:p>
    <w:p>
      <w:r>
        <w:br w:type="page"/>
      </w:r>
    </w:p>
    <w:p>
      <w:pPr>
        <w:spacing w:before="320" w:after="160"/>
      </w:pPr>
      <w:r>
        <w:rPr>
          <w:rFonts w:ascii="PingFang TC" w:hAnsi="PingFang TC"/>
          <w:b/>
          <w:color w:val="B8860B"/>
          <w:sz w:val="32"/>
        </w:rPr>
        <w:t>【摘要】</w:t>
      </w:r>
    </w:p>
    <w:p>
      <w:pPr>
        <w:spacing w:line="336" w:lineRule="auto" w:after="120"/>
        <w:ind w:firstLine="440"/>
      </w:pPr>
      <w:r>
        <w:rPr>
          <w:rFonts w:ascii="PingFang TC" w:hAnsi="PingFang TC"/>
          <w:color w:val="282C34"/>
          <w:sz w:val="22"/>
        </w:rPr>
        <w:t>本研究針對台中市沙鹿區「富宇大境」（A2 區，共 6 戶透天別墅）於 115 年 5 月與周邊其他五區合併報備為「富宇大地」（共 241 戶）後，因基地物理環境相隔、公用設施依賴度實質歸零、管理成本分攤失衡所引發之治理困境進行系統性研究。研究團隊結合法規文獻分析法、現場工務實證鑑定與會計帳目穿透審計，獲致四大核心結論。</w:t>
      </w:r>
    </w:p>
    <w:p>
      <w:pPr>
        <w:spacing w:line="336" w:lineRule="auto" w:after="120"/>
        <w:ind w:firstLine="440"/>
      </w:pPr>
      <w:r>
        <w:rPr>
          <w:rFonts w:ascii="PingFang TC" w:hAnsi="PingFang TC"/>
          <w:color w:val="282C34"/>
          <w:sz w:val="22"/>
        </w:rPr>
        <w:t>其一，A2 區 6 戶直接面臨公有計畫道路龍社路，出入完全獨立，未途經內部巷道，自來水、自用電表、生活排水與化糞均獨立自理，生活廢棄物門前自理，依《公寓大廈管理條例》第 53 條，其共用設施不具備「整體不可分性」，客觀上完全合於集居管理分流準用要件；其二，管委會官方財報已明確將核退公款獨立開立「A2 大境定存單 NT$ 220,231 元」專單保管，分流移交對大社區 235 戶公款零衝擊；其三，分流後回歸獨立透天自律生活，不另成立繁瑣管委會，免除行政負擔；其四，大社區管委會管理聚焦、子母車容量全留 235 戶，達成雙贏。</w:t>
      </w:r>
    </w:p>
    <w:p>
      <w:pPr>
        <w:spacing w:before="320" w:after="160"/>
      </w:pPr>
      <w:r>
        <w:rPr>
          <w:rFonts w:ascii="PingFang TC" w:hAnsi="PingFang TC"/>
          <w:b/>
          <w:color w:val="B8860B"/>
          <w:sz w:val="32"/>
        </w:rPr>
        <w:t>第一章、緒論（Introduction）</w:t>
      </w:r>
    </w:p>
    <w:p>
      <w:pPr>
        <w:spacing w:before="240" w:after="80"/>
      </w:pPr>
      <w:r>
        <w:rPr>
          <w:rFonts w:ascii="PingFang TC" w:hAnsi="PingFang TC"/>
          <w:b/>
          <w:color w:val="1A1D20"/>
          <w:sz w:val="26"/>
        </w:rPr>
        <w:t>1.1 研究背景與社區發展脈絡</w:t>
      </w:r>
    </w:p>
    <w:p>
      <w:pPr>
        <w:spacing w:line="336" w:lineRule="auto" w:after="120"/>
        <w:ind w:firstLine="440"/>
      </w:pPr>
      <w:r>
        <w:rPr>
          <w:rFonts w:ascii="PingFang TC" w:hAnsi="PingFang TC"/>
          <w:color w:val="282C34"/>
          <w:sz w:val="22"/>
        </w:rPr>
        <w:t>富宇大地社區坐落於台中市沙鹿區，原始規劃由富宇建設開發之大境、上境、悠境、澄境等數個獨立住宅建案所組成。115 年初，起造人與初期籌備小組基於聯合管理以降低基本保全駐點人事門檻之考量，推動六區合併，並於 115 年 5 月 14 日獲龍井區公所以 241 戶規模核發公寓大廈管理組織報備證明在案。</w:t>
      </w:r>
    </w:p>
    <w:p>
      <w:pPr>
        <w:spacing w:line="336" w:lineRule="auto" w:after="120"/>
        <w:ind w:firstLine="440"/>
      </w:pPr>
      <w:r>
        <w:rPr>
          <w:rFonts w:ascii="PingFang TC" w:hAnsi="PingFang TC"/>
          <w:color w:val="282C34"/>
          <w:sz w:val="22"/>
        </w:rPr>
        <w:t>然而，合併規模高達 241 戶之集居聚落中，唯獨「A2 區富宇大境」（共 6 戶，門牌為沙鹿區龍社路 593～603 號）坐落於公有計畫道路龍社路南側最外緣，與內部封閉式社區巷道隔馬路相望。外側透天別墅與內部封閉式巷道聚落之生活習慣、公設使用需求與管理對價產生顯著落差，亟需透過法制化途徑進行管理架構優化與資源重整。</w:t>
      </w:r>
    </w:p>
    <w:p>
      <w:pPr>
        <w:spacing w:before="240" w:after="80"/>
      </w:pPr>
      <w:r>
        <w:rPr>
          <w:rFonts w:ascii="PingFang TC" w:hAnsi="PingFang TC"/>
          <w:b/>
          <w:color w:val="1A1D20"/>
          <w:sz w:val="26"/>
        </w:rPr>
        <w:t>1.2 研究動機與核心問題意識</w:t>
      </w:r>
    </w:p>
    <w:p>
      <w:pPr>
        <w:spacing w:line="336" w:lineRule="auto" w:after="120"/>
        <w:ind w:firstLine="440"/>
      </w:pPr>
      <w:r>
        <w:rPr>
          <w:rFonts w:ascii="PingFang TC" w:hAnsi="PingFang TC"/>
          <w:color w:val="282C34"/>
          <w:sz w:val="22"/>
        </w:rPr>
        <w:t>本研究探討臨路透天別墅脫離集居母體獨立分流之法源依據、出入交通水電排污之自足性鑑定，以及分流後對大社區 235 戶公款與管理之雙贏影響評估。</w:t>
      </w:r>
    </w:p>
    <w:p>
      <w:r>
        <w:br w:type="page"/>
      </w:r>
    </w:p>
    <w:p>
      <w:pPr>
        <w:spacing w:before="320" w:after="160"/>
      </w:pPr>
      <w:r>
        <w:rPr>
          <w:rFonts w:ascii="PingFang TC" w:hAnsi="PingFang TC"/>
          <w:b/>
          <w:color w:val="B8860B"/>
          <w:sz w:val="32"/>
        </w:rPr>
        <w:t>第二章、法理分析與法規適用（Legal Doctrine）</w:t>
      </w:r>
    </w:p>
    <w:p>
      <w:pPr>
        <w:spacing w:before="240" w:after="80"/>
      </w:pPr>
      <w:r>
        <w:rPr>
          <w:rFonts w:ascii="PingFang TC" w:hAnsi="PingFang TC"/>
          <w:b/>
          <w:color w:val="1A1D20"/>
          <w:sz w:val="26"/>
        </w:rPr>
        <w:t>2.1 《公寓大廈管理條例》第 53 條集居地區分流準用要件</w:t>
      </w:r>
    </w:p>
    <w:p>
      <w:pPr>
        <w:spacing w:line="336" w:lineRule="auto" w:after="120"/>
        <w:ind w:firstLine="440"/>
      </w:pPr>
      <w:r>
        <w:rPr>
          <w:rFonts w:ascii="PingFang TC" w:hAnsi="PingFang TC"/>
          <w:color w:val="282C34"/>
          <w:sz w:val="22"/>
        </w:rPr>
        <w:t>《公寓大廈管理條例》第 53 條明文規定：「多數各自獨立使用之建築物、公寓大廈，其共同設施之使用與管理具有整體不可分性之集居地區者，其管理及組織準用本條例之規定。」</w:t>
      </w:r>
    </w:p>
    <w:p>
      <w:pPr>
        <w:spacing w:line="336" w:lineRule="auto" w:after="120"/>
        <w:ind w:firstLine="440"/>
      </w:pPr>
      <w:r>
        <w:rPr>
          <w:rFonts w:ascii="PingFang TC" w:hAnsi="PingFang TC"/>
          <w:color w:val="282C34"/>
          <w:sz w:val="22"/>
        </w:rPr>
        <w:t>法理邏輯反面推論及司法實務見解（參照最高法院 92 年度台上字第 2314 號民事判決意旨）一致確立：集居社區合併準用本條例之前提，乃各棟建築物間「共同設施之使用與管理具有整體不可分性」。倘若其中特定分區，出入直接面臨公有既成道路，且水電排污、生活機電等共同設施完全隔離自立，實質上不具備不可分之共有依賴關係時，強行將其納入同一規約組織，反將侵害其私法財產權益。因此，A2 區 6 戶依法得主張實質分流，排除於原集居範圍之外。</w:t>
      </w:r>
    </w:p>
    <w:p>
      <w:pPr>
        <w:spacing w:before="240" w:after="80"/>
      </w:pPr>
      <w:r>
        <w:rPr>
          <w:rFonts w:ascii="PingFang TC" w:hAnsi="PingFang TC"/>
          <w:b/>
          <w:color w:val="1A1D20"/>
          <w:sz w:val="26"/>
        </w:rPr>
        <w:t>2.2 《條例》第 59 條之 1 爭議事件調處程序之準司法效力</w:t>
      </w:r>
    </w:p>
    <w:p>
      <w:pPr>
        <w:spacing w:line="336" w:lineRule="auto" w:after="120"/>
        <w:ind w:firstLine="440"/>
      </w:pPr>
      <w:r>
        <w:rPr>
          <w:rFonts w:ascii="PingFang TC" w:hAnsi="PingFang TC"/>
          <w:color w:val="282C34"/>
          <w:sz w:val="22"/>
        </w:rPr>
        <w:t>依據《公寓大廈管理條例》第 59 條之 1 規定，直轄市應設公寓大廈爭議事件調處委員會。A2 區 6 戶全體向「臺中市政府都市發展局（爭議調處委員會）」申請調處，一旦作成調處和解筆錄，具有民事確定判決之同一效力，主管機關區公所依法必須據以辦理管理範圍變更備查，無須再經 241 戶全體區權大會動員表決。</w:t>
      </w:r>
    </w:p>
    <w:p>
      <w:pPr>
        <w:spacing w:before="240" w:after="80"/>
      </w:pPr>
      <w:r>
        <w:rPr>
          <w:rFonts w:ascii="PingFang TC" w:hAnsi="PingFang TC"/>
          <w:b/>
          <w:color w:val="1A1D20"/>
          <w:sz w:val="26"/>
        </w:rPr>
        <w:t>2.3 《條例》第 31 條規約管理範圍變更程序</w:t>
      </w:r>
    </w:p>
    <w:p>
      <w:pPr>
        <w:spacing w:line="336" w:lineRule="auto" w:after="120"/>
        <w:ind w:firstLine="440"/>
      </w:pPr>
      <w:r>
        <w:rPr>
          <w:rFonts w:ascii="PingFang TC" w:hAnsi="PingFang TC"/>
          <w:color w:val="282C34"/>
          <w:sz w:val="22"/>
        </w:rPr>
        <w:t>若循社區內部自律程序推動，則依《條例》第 31 條特別決議通過變更《住戶規約》第二條管理組織範圍（由 241 戶修正為 235 戶），以和平民主程序達成合意分流。</w:t>
      </w:r>
    </w:p>
    <w:p>
      <w:r>
        <w:br w:type="page"/>
      </w:r>
    </w:p>
    <w:p>
      <w:pPr>
        <w:spacing w:before="320" w:after="160"/>
      </w:pPr>
      <w:r>
        <w:rPr>
          <w:rFonts w:ascii="PingFang TC" w:hAnsi="PingFang TC"/>
          <w:b/>
          <w:color w:val="B8860B"/>
          <w:sz w:val="32"/>
        </w:rPr>
        <w:t>第三章、物理機能與生活網絡實證調查</w:t>
      </w:r>
    </w:p>
    <w:p>
      <w:pPr>
        <w:spacing w:before="240" w:after="80"/>
      </w:pPr>
      <w:r>
        <w:rPr>
          <w:rFonts w:ascii="PingFang TC" w:hAnsi="PingFang TC"/>
          <w:b/>
          <w:color w:val="1A1D20"/>
          <w:sz w:val="26"/>
        </w:rPr>
        <w:t>3.1 基地坐落與道路交通出入動線（零通行依賴）</w:t>
      </w:r>
    </w:p>
    <w:p>
      <w:pPr>
        <w:spacing w:line="336" w:lineRule="auto" w:after="120"/>
        <w:ind w:firstLine="440"/>
      </w:pPr>
      <w:r>
        <w:rPr>
          <w:rFonts w:ascii="PingFang TC" w:hAnsi="PingFang TC"/>
          <w:color w:val="282C34"/>
          <w:sz w:val="22"/>
        </w:rPr>
        <w:t>A2 大境 6 戶別墅基地北側直接臨接台中市公有計畫道路「龍社路」，門前路幅開闊，住戶進出直接銜接外部交通路網，完全不須行經富宇大地內部私設巷道（如 638 巷、642 巷、646 巷等），客觀上無袋地爭議。</w:t>
      </w:r>
    </w:p>
    <w:p>
      <w:pPr>
        <w:spacing w:before="240" w:after="80"/>
      </w:pPr>
      <w:r>
        <w:rPr>
          <w:rFonts w:ascii="PingFang TC" w:hAnsi="PingFang TC"/>
          <w:b/>
          <w:color w:val="1A1D20"/>
          <w:sz w:val="26"/>
        </w:rPr>
        <w:t>3.2 水電與排污機電設施之完全物理獨立性</w:t>
      </w:r>
    </w:p>
    <w:p>
      <w:pPr>
        <w:spacing w:line="336" w:lineRule="auto" w:after="120"/>
        <w:ind w:firstLine="440"/>
      </w:pPr>
      <w:r>
        <w:rPr>
          <w:rFonts w:ascii="PingFang TC" w:hAnsi="PingFang TC"/>
          <w:color w:val="282C34"/>
          <w:sz w:val="22"/>
        </w:rPr>
        <w:t>經勘查建物管線峻工圖說確認：6 戶自來水直接引自龍社路幹管，獨立受水表；各戶配置獨立台電電表；化糞池與生活排水直接銜接龍社路公共排水暗渠，未接入大社區內部任何共同中繼機電設備。證明 A2 區在建築技術維度上完全自足。</w:t>
      </w:r>
    </w:p>
    <w:p>
      <w:pPr>
        <w:spacing w:before="240" w:after="80"/>
      </w:pPr>
      <w:r>
        <w:rPr>
          <w:rFonts w:ascii="PingFang TC" w:hAnsi="PingFang TC"/>
          <w:b/>
          <w:color w:val="1A1D20"/>
          <w:sz w:val="26"/>
        </w:rPr>
        <w:t>3.3 生活廢棄物處理機制之實質分流現況</w:t>
      </w:r>
    </w:p>
    <w:p>
      <w:pPr>
        <w:spacing w:line="336" w:lineRule="auto" w:after="120"/>
        <w:ind w:firstLine="440"/>
      </w:pPr>
      <w:r>
        <w:rPr>
          <w:rFonts w:ascii="PingFang TC" w:hAnsi="PingFang TC"/>
          <w:color w:val="282C34"/>
          <w:sz w:val="22"/>
        </w:rPr>
        <w:t>A2 大境 6 戶日常均於門前龍社路等候台中市環保局公有垃圾車定時定點免費清運，自始即未進入大社區內部丟棄垃圾。全體住戶已正式出具切結書，自願放棄內部子母車使用權，生活垃圾完全自理。</w:t>
      </w:r>
    </w:p>
    <w:p>
      <w:r>
        <w:br w:type="page"/>
      </w:r>
    </w:p>
    <w:p>
      <w:pPr>
        <w:spacing w:before="320" w:after="160"/>
      </w:pPr>
      <w:r>
        <w:rPr>
          <w:rFonts w:ascii="PingFang TC" w:hAnsi="PingFang TC"/>
          <w:b/>
          <w:color w:val="B8860B"/>
          <w:sz w:val="32"/>
        </w:rPr>
        <w:t>第四章、財務審計分析與專案資產清算模型</w:t>
      </w:r>
    </w:p>
    <w:p>
      <w:pPr>
        <w:spacing w:before="240" w:after="80"/>
      </w:pPr>
      <w:r>
        <w:rPr>
          <w:rFonts w:ascii="PingFang TC" w:hAnsi="PingFang TC"/>
          <w:b/>
          <w:color w:val="1A1D20"/>
          <w:sz w:val="26"/>
        </w:rPr>
        <w:t>4.1 富宇大地官方財務報表穿透審查</w:t>
      </w:r>
    </w:p>
    <w:p>
      <w:pPr>
        <w:spacing w:line="336" w:lineRule="auto" w:after="120"/>
        <w:ind w:firstLine="440"/>
      </w:pPr>
      <w:r>
        <w:rPr>
          <w:rFonts w:ascii="PingFang TC" w:hAnsi="PingFang TC"/>
          <w:color w:val="282C34"/>
          <w:sz w:val="22"/>
        </w:rPr>
        <w:t>依據富宇大地管委會 115 年 5 月 6 日例會議題四官方決議及 9 月份財務清冊，新光銀行沙鹿分行之定存中，第 2 筆明確載明存單抬頭為「A2 大境區定存，本金金額新台幣 220,231 元整」，自始即與悠境、澄境分開立卷保管，產權憑證界限清晰。</w:t>
      </w:r>
    </w:p>
    <w:p>
      <w:pPr>
        <w:spacing w:before="240" w:after="80"/>
      </w:pPr>
      <w:r>
        <w:rPr>
          <w:rFonts w:ascii="PingFang TC" w:hAnsi="PingFang TC"/>
          <w:b/>
          <w:color w:val="1A1D20"/>
          <w:sz w:val="26"/>
        </w:rPr>
        <w:t>4.2 專案移交資產規模審計核算</w:t>
      </w:r>
    </w:p>
    <w:p>
      <w:pPr>
        <w:spacing w:line="336" w:lineRule="auto" w:after="120"/>
        <w:ind w:firstLine="440"/>
      </w:pPr>
      <w:r>
        <w:rPr>
          <w:rFonts w:ascii="PingFang TC" w:hAnsi="PingFang TC"/>
          <w:color w:val="282C34"/>
          <w:sz w:val="22"/>
        </w:rPr>
        <w:t>屬 A2 區 6 戶專款之資產規模如下：新光銀行 A2 定存單本金 NT$ 220,231 元整；起造人交屋管理基金 6 戶份額 NT$ 60,000 元整；專案資產合計總額為 NT$ 284,731 元。</w:t>
      </w:r>
    </w:p>
    <w:p>
      <w:pPr>
        <w:spacing w:before="240" w:after="80"/>
      </w:pPr>
      <w:r>
        <w:rPr>
          <w:rFonts w:ascii="PingFang TC" w:hAnsi="PingFang TC"/>
          <w:b/>
          <w:color w:val="1A1D20"/>
          <w:sz w:val="26"/>
        </w:rPr>
        <w:t>4.3 財務分流對大社區 235 戶之影響實證評估</w:t>
      </w:r>
    </w:p>
    <w:p>
      <w:pPr>
        <w:spacing w:line="336" w:lineRule="auto" w:after="120"/>
        <w:ind w:firstLine="440"/>
      </w:pPr>
      <w:r>
        <w:rPr>
          <w:rFonts w:ascii="PingFang TC" w:hAnsi="PingFang TC"/>
          <w:color w:val="282C34"/>
          <w:sz w:val="22"/>
        </w:rPr>
        <w:t>A2 區 6 戶每月繳納管理費 $6,000 元，扣除垃圾清運分攤（約 $1,195）與物業經理人事支出（約 $1,751）及外側維護成本後所剩無幾。分流後管委會免除外側維護人力，且 A2 專款原單專案歸位，大社區數百萬元營運資金分毫未損，全體 235 戶之管理費絕無因分流而調漲之虞。</w:t>
      </w:r>
    </w:p>
    <w:p>
      <w:r>
        <w:br w:type="page"/>
      </w:r>
    </w:p>
    <w:p>
      <w:pPr>
        <w:spacing w:before="320" w:after="160"/>
      </w:pPr>
      <w:r>
        <w:rPr>
          <w:rFonts w:ascii="PingFang TC" w:hAnsi="PingFang TC"/>
          <w:b/>
          <w:color w:val="B8860B"/>
          <w:sz w:val="32"/>
        </w:rPr>
        <w:t>第五章、大社區雙贏效益與行政風險評估</w:t>
      </w:r>
    </w:p>
    <w:p>
      <w:pPr>
        <w:spacing w:line="336" w:lineRule="auto" w:after="120"/>
        <w:ind w:firstLine="440"/>
      </w:pPr>
      <w:r>
        <w:rPr>
          <w:rFonts w:ascii="PingFang TC" w:hAnsi="PingFang TC"/>
          <w:color w:val="282C34"/>
          <w:sz w:val="22"/>
        </w:rPr>
        <w:t>1. 管理責任集中單純化：物業人員免除跨越大馬路巡查之風險，管理動線收縮至封閉式巷道內部，管委會免除外側道路公共安全責任；</w:t>
      </w:r>
    </w:p>
    <w:p>
      <w:pPr>
        <w:spacing w:line="336" w:lineRule="auto" w:after="120"/>
        <w:ind w:firstLine="440"/>
      </w:pPr>
      <w:r>
        <w:rPr>
          <w:rFonts w:ascii="PingFang TC" w:hAnsi="PingFang TC"/>
          <w:color w:val="282C34"/>
          <w:sz w:val="22"/>
        </w:rPr>
        <w:t>2. 公設資源全數回饋留用：內部收費子母車容量與清潔維護資源 100% 留給內部 235 戶享用，緩解垃圾超載壓力；</w:t>
      </w:r>
    </w:p>
    <w:p>
      <w:pPr>
        <w:spacing w:line="336" w:lineRule="auto" w:after="120"/>
        <w:ind w:firstLine="440"/>
      </w:pPr>
      <w:r>
        <w:rPr>
          <w:rFonts w:ascii="PingFang TC" w:hAnsi="PingFang TC"/>
          <w:color w:val="282C34"/>
          <w:sz w:val="22"/>
        </w:rPr>
        <w:t>3. 消弭長治久安之制度隱患：消除外側透天未享用公設卻分攤費用的不平等矛盾，建立和諧鄰里典範。</w:t>
      </w:r>
    </w:p>
    <w:p>
      <w:pPr>
        <w:spacing w:before="320" w:after="160"/>
      </w:pPr>
      <w:r>
        <w:rPr>
          <w:rFonts w:ascii="PingFang TC" w:hAnsi="PingFang TC"/>
          <w:b/>
          <w:color w:val="B8860B"/>
          <w:sz w:val="32"/>
        </w:rPr>
        <w:t>第六章、推動路徑與實施標準作業程序（SOP）</w:t>
      </w:r>
    </w:p>
    <w:p>
      <w:pPr>
        <w:spacing w:line="336" w:lineRule="auto" w:after="120"/>
        <w:ind w:firstLine="440"/>
      </w:pPr>
      <w:r>
        <w:rPr>
          <w:rFonts w:ascii="PingFang TC" w:hAnsi="PingFang TC"/>
          <w:color w:val="282C34"/>
          <w:sz w:val="22"/>
        </w:rPr>
        <w:t>規劃五大標準實施階段：【階段一：內部共識凝聚】➔【階段二：正式提案協商】➔【階段三：市府調處或大會決議】➔【階段四：主管機關變更報備】➔【階段五：專案款項結算生效】。</w:t>
      </w:r>
    </w:p>
    <w:p>
      <w:pPr>
        <w:spacing w:before="320" w:after="160"/>
      </w:pPr>
      <w:r>
        <w:rPr>
          <w:rFonts w:ascii="PingFang TC" w:hAnsi="PingFang TC"/>
          <w:b/>
          <w:color w:val="B8860B"/>
          <w:sz w:val="32"/>
        </w:rPr>
        <w:t>第七章、結論與建議（Conclusions）</w:t>
      </w:r>
    </w:p>
    <w:p>
      <w:pPr>
        <w:spacing w:line="336" w:lineRule="auto" w:after="120"/>
        <w:ind w:firstLine="440"/>
      </w:pPr>
      <w:r>
        <w:rPr>
          <w:rFonts w:ascii="PingFang TC" w:hAnsi="PingFang TC"/>
          <w:color w:val="282C34"/>
          <w:sz w:val="22"/>
        </w:rPr>
        <w:t>富宇大境（A2 區）獨立分流完全具備法令適法性、機能自足性與財務公平性。建請雙方秉持理性自治精神，透過臺中市政府爭議調處機制（或區權大會特別決議）和平確立分流規範，共創富宇大地全區之長治久安。</w:t>
      </w:r>
    </w:p>
    <w:p>
      <w:r>
        <w:br w:type="page"/>
      </w:r>
    </w:p>
    <w:p>
      <w:pPr>
        <w:spacing w:before="320" w:after="160"/>
      </w:pPr>
      <w:r>
        <w:rPr>
          <w:rFonts w:ascii="PingFang TC" w:hAnsi="PingFang TC"/>
          <w:b/>
          <w:color w:val="B8860B"/>
          <w:sz w:val="32"/>
        </w:rPr>
        <w:t>附錄、管理分流與資產移交協議書（草案）</w:t>
      </w:r>
    </w:p>
    <w:p>
      <w:pPr>
        <w:spacing w:line="336" w:lineRule="auto" w:after="120"/>
        <w:ind w:firstLine="440"/>
      </w:pPr>
      <w:r>
        <w:rPr>
          <w:rFonts w:ascii="PingFang TC" w:hAnsi="PingFang TC"/>
          <w:color w:val="282C34"/>
          <w:sz w:val="22"/>
        </w:rPr>
        <w:t>立協議書人：甲方：富宇大地社區管理委員會 ｜ 乙方：富宇大境（A2 區・6 戶）全體區分所有權人（代表人：廖倫豪 博士）。</w:t>
      </w:r>
    </w:p>
    <w:p>
      <w:pPr>
        <w:spacing w:line="336" w:lineRule="auto" w:after="120"/>
        <w:ind w:firstLine="440"/>
      </w:pPr>
      <w:r>
        <w:rPr>
          <w:rFonts w:ascii="PingFang TC" w:hAnsi="PingFang TC"/>
          <w:color w:val="282C34"/>
          <w:sz w:val="22"/>
        </w:rPr>
        <w:t>第一條（定存專單移交結算）：甲方保管之「A2 大境定存專單」（本金 NT$ 220,231 元及孳息），於核准備查後 15 日內解約並均分匯退至乙方 6 戶區權人個人帳戶。</w:t>
      </w:r>
    </w:p>
    <w:p>
      <w:pPr>
        <w:spacing w:line="336" w:lineRule="auto" w:after="120"/>
        <w:ind w:firstLine="440"/>
      </w:pPr>
      <w:r>
        <w:rPr>
          <w:rFonts w:ascii="PingFang TC" w:hAnsi="PingFang TC"/>
          <w:color w:val="282C34"/>
          <w:sz w:val="22"/>
        </w:rPr>
        <w:t>第二條（交屋基金全額返還）：起造人富宇建設交付之管理基金，甲方同意專案核實撥還 NT$ 60,000 元整，均分匯退至乙方 6 戶區權人個人帳戶（每戶退還 NT$ 10,000 元整）。</w:t>
      </w:r>
    </w:p>
    <w:p>
      <w:pPr>
        <w:spacing w:line="336" w:lineRule="auto" w:after="120"/>
        <w:ind w:firstLine="440"/>
      </w:pPr>
      <w:r>
        <w:rPr>
          <w:rFonts w:ascii="PingFang TC" w:hAnsi="PingFang TC"/>
          <w:color w:val="282C34"/>
          <w:sz w:val="22"/>
        </w:rPr>
        <w:t>第三條（公設權益割離與生活自理）：乙方生活廢棄物自行等候市府公有清潔隊清運，自願放棄使用甲方內部之收費垃圾子母車；回歸獨立透天自律生活，不另設管委會。</w:t>
      </w:r>
    </w:p>
    <w:p>
      <w:pPr>
        <w:spacing w:line="336" w:lineRule="auto" w:after="120"/>
        <w:ind w:firstLine="440"/>
      </w:pPr>
      <w:r>
        <w:rPr>
          <w:rFonts w:ascii="PingFang TC" w:hAnsi="PingFang TC"/>
          <w:color w:val="282C34"/>
          <w:sz w:val="22"/>
        </w:rPr>
        <w:t>第四條（水電排污獨立與終生免繳管理費）：乙方各戶自來水、用電、排污設施各自獨立立戶自理。分流生效之次月 1 日起終止繳納甲方管理費，外包合約與乙方無涉。</w:t>
      </w:r>
    </w:p>
    <w:p>
      <w:pPr>
        <w:spacing w:line="336" w:lineRule="auto" w:after="120"/>
        <w:ind w:firstLine="440"/>
      </w:pPr>
      <w:r>
        <w:rPr>
          <w:rFonts w:ascii="PingFang TC" w:hAnsi="PingFang TC"/>
          <w:color w:val="282C34"/>
          <w:sz w:val="22"/>
        </w:rPr>
        <w:t>第五條（協議生效要件）：本協議書經雙方代表人簽章用印，並經主管機關核准管理組織範圍變更報備後正式生效。</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