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B8860B"/>
          <w:sz w:val="32"/>
        </w:rPr>
        <w:t>【附件二】富宇大地全區地籍配置圖</w:t>
        <w:br/>
        <w:t>暨富宇大境（A2 區）獨立出入地理證明書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 A2 大境 6 戶面臨公有計畫道路龍社路，出入完全獨立，未途經內部私設巷道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006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附件二_富宇大地全區地籍配置圖_A2大境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62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標的戶別與門牌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富宇大境（A2 區）共 6 戶透天別墅（台中市沙鹿區龍社路 595、597、599、601、603、605 號）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臨接道路屬性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直接面臨台中市都市計畫公有道路「龍社路」，路寬充足，人員與車輛直接銜接市區幹道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內部巷道通行關係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完全無需進入或通行富宇大地內部私設巷道（龍社路 628 巷、638 巷、642 巷、646 巷）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共用設施關聯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與大社區內部之貨櫃屋管理室、流動廁所、兒童遊樂綠地無物理重疊，具備百分之百獨立使用性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法定分割結論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完全符合《公寓大廈管理條例》第 26 條第 1 項「得獨立使用且能分別成立管理委員會」之構成要件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PingFang TC" w:hAnsi="PingFang TC"/>
        <w:color w:val="8C8273"/>
        <w:sz w:val="17"/>
      </w:rPr>
      <w:t xml:space="preserve">報告人：Howard Liao Ph.D.  ｜  克林姆金色典藏版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附件二：富宇大地全區地籍圖及出入證明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