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PingFang TC" w:hAnsi="PingFang TC"/>
          <w:b/>
          <w:color w:val="A83212"/>
          <w:sz w:val="36"/>
        </w:rPr>
        <w:t>富宇大境（A2 區）全套法定調處與規約優化卷宗全編</w:t>
      </w:r>
    </w:p>
    <w:p>
      <w:pPr>
        <w:spacing w:after="120" w:line="312" w:lineRule="auto"/>
      </w:pPr>
      <w:r>
        <w:rPr>
          <w:rFonts w:ascii="PingFang TC" w:hAnsi="PingFang TC"/>
          <w:color w:val="2D3748"/>
          <w:sz w:val="20"/>
        </w:rPr>
        <w:t>&lt;!-- PAGE BREAK --&gt;</w:t>
      </w:r>
    </w:p>
    <w:p>
      <w:pPr>
        <w:spacing w:after="120" w:line="312" w:lineRule="auto"/>
      </w:pPr>
      <w:r>
        <w:rPr>
          <w:rFonts w:ascii="PingFang TC" w:hAnsi="PingFang TC"/>
          <w:color w:val="2D3748"/>
          <w:sz w:val="20"/>
        </w:rPr>
        <w:t># 臺中市公寓大廈爭議事件調處申請書</w:t>
      </w:r>
    </w:p>
    <w:p>
      <w:pPr>
        <w:spacing w:after="120" w:line="312" w:lineRule="auto"/>
      </w:pPr>
      <w:r>
        <w:rPr>
          <w:rFonts w:ascii="PingFang TC" w:hAnsi="PingFang TC"/>
          <w:color w:val="2D3748"/>
          <w:sz w:val="20"/>
        </w:rPr>
        <w:t>受文機關：臺中市政府（都市發展局住宅發展工程處 / 公寓大廈爭議事件調處委員會）</w:t>
      </w:r>
    </w:p>
    <w:p>
      <w:pPr>
        <w:spacing w:after="120" w:line="312" w:lineRule="auto"/>
      </w:pPr>
      <w:r>
        <w:rPr>
          <w:rFonts w:ascii="PingFang TC" w:hAnsi="PingFang TC"/>
          <w:color w:val="2D3748"/>
          <w:sz w:val="20"/>
        </w:rPr>
        <w:t>申請日期：中華民國 115 年【待查證】月【待查證】日</w:t>
      </w:r>
    </w:p>
    <w:p>
      <w:pPr>
        <w:spacing w:before="240" w:after="120"/>
      </w:pPr>
      <w:r>
        <w:rPr>
          <w:rFonts w:ascii="PingFang TC" w:hAnsi="PingFang TC"/>
          <w:b/>
          <w:color w:val="DE5814"/>
          <w:sz w:val="26"/>
        </w:rPr>
        <w:t>一、當事人基本資料</w:t>
      </w:r>
    </w:p>
    <w:tbl>
      <w:tblPr>
        <w:tblW w:type="auto" w:w="0"/>
        <w:jc w:val="center"/>
        <w:tblLook w:firstColumn="1" w:firstRow="1" w:lastColumn="0" w:lastRow="0" w:noHBand="0" w:noVBand="1" w:val="04A0"/>
      </w:tblPr>
      <w:tblGrid>
        <w:gridCol w:w="2401"/>
        <w:gridCol w:w="2401"/>
        <w:gridCol w:w="2401"/>
        <w:gridCol w:w="2401"/>
      </w:tblGrid>
      <w:tr>
        <w:tc>
          <w:tcPr>
            <w:tcW w:type="dxa" w:w="2401"/>
            <w:shd w:fill="2D3748"/>
          </w:tcPr>
          <w:p>
            <w:r>
              <w:rPr>
                <w:b/>
                <w:color w:val="FFFFFF"/>
                <w:sz w:val="19"/>
              </w:rPr>
              <w:t>稱謂</w:t>
            </w:r>
          </w:p>
        </w:tc>
        <w:tc>
          <w:tcPr>
            <w:tcW w:type="dxa" w:w="2401"/>
            <w:shd w:fill="2D3748"/>
          </w:tcPr>
          <w:p>
            <w:r>
              <w:rPr>
                <w:b/>
                <w:color w:val="FFFFFF"/>
                <w:sz w:val="19"/>
              </w:rPr>
              <w:t>姓名 / 名稱</w:t>
            </w:r>
          </w:p>
        </w:tc>
        <w:tc>
          <w:tcPr>
            <w:tcW w:type="dxa" w:w="2401"/>
            <w:shd w:fill="2D3748"/>
          </w:tcPr>
          <w:p>
            <w:r>
              <w:rPr>
                <w:b/>
                <w:color w:val="FFFFFF"/>
                <w:sz w:val="19"/>
              </w:rPr>
              <w:t>身分證明文件 / 統編</w:t>
            </w:r>
          </w:p>
        </w:tc>
        <w:tc>
          <w:tcPr>
            <w:tcW w:type="dxa" w:w="2401"/>
            <w:shd w:fill="2D3748"/>
          </w:tcPr>
          <w:p>
            <w:r>
              <w:rPr>
                <w:b/>
                <w:color w:val="FFFFFF"/>
                <w:sz w:val="19"/>
              </w:rPr>
              <w:t>住居所 / 門牌地址</w:t>
            </w:r>
          </w:p>
        </w:tc>
      </w:tr>
      <w:tr>
        <w:tc>
          <w:tcPr>
            <w:tcW w:type="dxa" w:w="2401"/>
            <w:shd w:fill="F8FAFC"/>
          </w:tcPr>
          <w:p>
            <w:r>
              <w:rPr>
                <w:color w:val="2D3748"/>
                <w:sz w:val="18"/>
              </w:rPr>
              <w:t>申請人</w:t>
            </w:r>
          </w:p>
        </w:tc>
        <w:tc>
          <w:tcPr>
            <w:tcW w:type="dxa" w:w="2401"/>
            <w:shd w:fill="F8FAFC"/>
          </w:tcPr>
          <w:p>
            <w:r>
              <w:rPr>
                <w:color w:val="2D3748"/>
                <w:sz w:val="18"/>
              </w:rPr>
              <w:t>廖倫豪 等 6 戶區分所有權人（詳名冊）</w:t>
            </w:r>
          </w:p>
        </w:tc>
        <w:tc>
          <w:tcPr>
            <w:tcW w:type="dxa" w:w="2401"/>
            <w:shd w:fill="F8FAFC"/>
          </w:tcPr>
          <w:p>
            <w:r>
              <w:rPr>
                <w:color w:val="2D3748"/>
                <w:sz w:val="18"/>
              </w:rPr>
              <w:t>【詳如簽署名冊】</w:t>
            </w:r>
          </w:p>
        </w:tc>
        <w:tc>
          <w:tcPr>
            <w:tcW w:type="dxa" w:w="2401"/>
            <w:shd w:fill="F8FAFC"/>
          </w:tcPr>
          <w:p>
            <w:r>
              <w:rPr>
                <w:color w:val="2D3748"/>
                <w:sz w:val="18"/>
              </w:rPr>
              <w:t>臺中市沙鹿區龍社路 593、595、597、599、601、603 號</w:t>
            </w:r>
          </w:p>
        </w:tc>
      </w:tr>
      <w:tr>
        <w:tc>
          <w:tcPr>
            <w:tcW w:type="dxa" w:w="2401"/>
          </w:tcPr>
          <w:p>
            <w:r>
              <w:rPr>
                <w:color w:val="2D3748"/>
                <w:sz w:val="18"/>
              </w:rPr>
              <w:t>申請人共同代理人</w:t>
            </w:r>
          </w:p>
        </w:tc>
        <w:tc>
          <w:tcPr>
            <w:tcW w:type="dxa" w:w="2401"/>
          </w:tcPr>
          <w:p>
            <w:r>
              <w:rPr>
                <w:color w:val="2D3748"/>
                <w:sz w:val="18"/>
              </w:rPr>
              <w:t>廖倫豪</w:t>
            </w:r>
          </w:p>
        </w:tc>
        <w:tc>
          <w:tcPr>
            <w:tcW w:type="dxa" w:w="2401"/>
          </w:tcPr>
          <w:p>
            <w:r>
              <w:rPr>
                <w:color w:val="2D3748"/>
                <w:sz w:val="18"/>
              </w:rPr>
              <w:t>【身分證字號詳附卷】</w:t>
            </w:r>
          </w:p>
        </w:tc>
        <w:tc>
          <w:tcPr>
            <w:tcW w:type="dxa" w:w="2401"/>
          </w:tcPr>
          <w:p>
            <w:r>
              <w:rPr>
                <w:color w:val="2D3748"/>
                <w:sz w:val="18"/>
              </w:rPr>
              <w:t>臺中市沙鹿區龍社路 595 號</w:t>
            </w:r>
          </w:p>
        </w:tc>
      </w:tr>
      <w:tr>
        <w:tc>
          <w:tcPr>
            <w:tcW w:type="dxa" w:w="2401"/>
            <w:shd w:fill="F8FAFC"/>
          </w:tcPr>
          <w:p>
            <w:r>
              <w:rPr>
                <w:color w:val="2D3748"/>
                <w:sz w:val="18"/>
              </w:rPr>
              <w:t>相對人</w:t>
            </w:r>
          </w:p>
        </w:tc>
        <w:tc>
          <w:tcPr>
            <w:tcW w:type="dxa" w:w="2401"/>
            <w:shd w:fill="F8FAFC"/>
          </w:tcPr>
          <w:p>
            <w:r>
              <w:rPr>
                <w:color w:val="2D3748"/>
                <w:sz w:val="18"/>
              </w:rPr>
              <w:t>富宇大地社區管理委員會</w:t>
            </w:r>
          </w:p>
        </w:tc>
        <w:tc>
          <w:tcPr>
            <w:tcW w:type="dxa" w:w="2401"/>
            <w:shd w:fill="F8FAFC"/>
          </w:tcPr>
          <w:p>
            <w:r>
              <w:rPr>
                <w:color w:val="2D3748"/>
                <w:sz w:val="18"/>
              </w:rPr>
              <w:t>統一編號：【待查證】</w:t>
            </w:r>
          </w:p>
        </w:tc>
        <w:tc>
          <w:tcPr>
            <w:tcW w:type="dxa" w:w="2401"/>
            <w:shd w:fill="F8FAFC"/>
          </w:tcPr>
          <w:p>
            <w:r>
              <w:rPr>
                <w:color w:val="2D3748"/>
                <w:sz w:val="18"/>
              </w:rPr>
              <w:t>臺中市【待查證：沙鹿區或龍井區】龍社路【待查證】號管理室</w:t>
            </w:r>
          </w:p>
        </w:tc>
      </w:tr>
    </w:tbl>
    <w:p>
      <w:pPr>
        <w:spacing w:after="120"/>
      </w:pPr>
    </w:p>
    <w:p>
      <w:pPr>
        <w:spacing w:before="240" w:after="120"/>
      </w:pPr>
      <w:r>
        <w:rPr>
          <w:rFonts w:ascii="PingFang TC" w:hAnsi="PingFang TC"/>
          <w:b/>
          <w:color w:val="DE5814"/>
          <w:sz w:val="26"/>
        </w:rPr>
        <w:t>二、申請調處之請求事項</w:t>
      </w:r>
    </w:p>
    <w:p>
      <w:pPr>
        <w:spacing w:after="120" w:line="312" w:lineRule="auto"/>
      </w:pPr>
      <w:r>
        <w:rPr>
          <w:rFonts w:ascii="PingFang TC" w:hAnsi="PingFang TC"/>
          <w:color w:val="2D3748"/>
          <w:sz w:val="20"/>
        </w:rPr>
        <w:t>1. 議案排審之合意：相對人應同意於收受調處紀錄之日起算下次定期區分所有權人會議（或於【待查證：三個月】內召集臨時區分所有權人會議），將申請人所提「修正富宇大地社區規約第二條管理範圍（將報備戶數 241 戶修正規約排除沙鹿區龍社路 593、595、597、599、601、603 號共 6 戶，變更為 235 戶）」議案，正式列為大會審議之特別決議議案。</w:t>
      </w:r>
    </w:p>
    <w:p>
      <w:pPr>
        <w:spacing w:after="120" w:line="312" w:lineRule="auto"/>
      </w:pPr>
      <w:r>
        <w:rPr>
          <w:rFonts w:ascii="PingFang TC" w:hAnsi="PingFang TC"/>
          <w:color w:val="2D3748"/>
          <w:sz w:val="20"/>
        </w:rPr>
        <w:t>2. 專案定存單歸屬之確認與移交：確認相對人以新光銀行專單列卷保管之「A2 大境區定存單」本金新臺幣（下同）220,231 元及其自存入日起至解約日止之法定孳息【待查證】，其權利專屬申請人 6 戶全體共有，俟前開規約修正完成報備後，由相對人會同申請人代理人辦理解約，並全數匯入申請人 6 戶所指定之「富宇大境 A2 雙人簽章共管專戶」。</w:t>
      </w:r>
    </w:p>
    <w:p>
      <w:pPr>
        <w:spacing w:after="120" w:line="312" w:lineRule="auto"/>
      </w:pPr>
      <w:r>
        <w:rPr>
          <w:rFonts w:ascii="PingFang TC" w:hAnsi="PingFang TC"/>
          <w:color w:val="2D3748"/>
          <w:sz w:val="20"/>
        </w:rPr>
        <w:t>3. 交屋管理基金與合併期間費用之結算：相對人應就起造人富宇建設提撥交付之 A2 區 6 戶交屋管理基金計 60,000 元（每戶 10,000 元），與申請人自民國 115 年 5 月 14 日合併報備起至管理範圍變更完成備查日止，實際應分攤之必要維護管理費用進行對帳結算；扣除合理分攤費用後之賸餘款，連同前項定存本息，全數移交解算。</w:t>
      </w:r>
    </w:p>
    <w:p>
      <w:pPr>
        <w:spacing w:before="240" w:after="120"/>
      </w:pPr>
      <w:r>
        <w:rPr>
          <w:rFonts w:ascii="PingFang TC" w:hAnsi="PingFang TC"/>
          <w:b/>
          <w:color w:val="DE5814"/>
          <w:sz w:val="26"/>
        </w:rPr>
        <w:t>三、事實及理由</w:t>
      </w:r>
    </w:p>
    <w:p>
      <w:pPr>
        <w:spacing w:before="200" w:after="80"/>
      </w:pPr>
      <w:r>
        <w:rPr>
          <w:rFonts w:ascii="PingFang TC" w:hAnsi="PingFang TC"/>
          <w:b/>
          <w:color w:val="D97706"/>
          <w:sz w:val="24"/>
        </w:rPr>
        <w:t>（一）法律架構之定性：集居地區管理範圍之界定，以「共同設施具備整體不可分性」為實質法定要件</w:t>
      </w:r>
    </w:p>
    <w:p>
      <w:pPr>
        <w:spacing w:after="120" w:line="312" w:lineRule="auto"/>
      </w:pPr>
      <w:r>
        <w:rPr>
          <w:rFonts w:ascii="PingFang TC" w:hAnsi="PingFang TC"/>
          <w:color w:val="2D3748"/>
          <w:sz w:val="20"/>
        </w:rPr>
        <w:t>按《公寓大廈管理條例》第 53 條明定：「多數各自獨立使用之建築物、公寓大廈，其共同設施之使用與管理具有整體不可分性之集居地區者，其管理及組織準用本條例之規定。」申言之，數個別獨立使用之建築基地得否合併受單一管委會統籌規約管轄，法理上係以各區「共同設施之使用與管理客觀上具有整體不可分性」為實質合法性前提。查「富宇大地社區」係於民國 115 年 5 月 14 日由主管機關【待查證：龍井區或沙鹿區公所】以 241 戶規模完成合併報備備查。惟查，坐落於臺中市沙鹿區龍社路 593、595、597、599、601、603 號之「富宇大境 A2 區」（即申請人 6 戶透天別墅），地緣位處整體基地最外側，與內部集合住宅聚落截然有別。</w:t>
      </w:r>
    </w:p>
    <w:p>
      <w:pPr>
        <w:spacing w:before="200" w:after="80"/>
      </w:pPr>
      <w:r>
        <w:rPr>
          <w:rFonts w:ascii="PingFang TC" w:hAnsi="PingFang TC"/>
          <w:b/>
          <w:color w:val="D97706"/>
          <w:sz w:val="24"/>
        </w:rPr>
        <w:t>（二）客觀設施與生活機能：申請人 6 戶各項民生設施具備完全物理獨立性，自始欠缺「整體不可分性」</w:t>
      </w:r>
    </w:p>
    <w:p>
      <w:pPr>
        <w:spacing w:after="120" w:line="312" w:lineRule="auto"/>
      </w:pPr>
      <w:r>
        <w:rPr>
          <w:rFonts w:ascii="PingFang TC" w:hAnsi="PingFang TC"/>
          <w:color w:val="2D3748"/>
          <w:sz w:val="20"/>
        </w:rPr>
        <w:t>1. 道路出入之獨立性：申請人 6 戶透天均面臨直通臺中市公有計畫道路「龍社路」，住戶出入直接銜接市區幹道，日常生活完全無須途經或利用富宇大地內部封閉私設巷道（如 642 巷等），出入路網完全獨立，絕無袋地通行問題。</w:t>
      </w:r>
    </w:p>
    <w:p>
      <w:pPr>
        <w:spacing w:after="120" w:line="312" w:lineRule="auto"/>
      </w:pPr>
      <w:r>
        <w:rPr>
          <w:rFonts w:ascii="PingFang TC" w:hAnsi="PingFang TC"/>
          <w:color w:val="2D3748"/>
          <w:sz w:val="20"/>
        </w:rPr>
        <w:t>2. 水電管線與排污系統之獨立性：申請人各戶之自來水進水錶、獨立電表、雨水排放、生活廢水與化糞排污管線，均各自獨立埋設或直接銜接龍社路公有下水道幹管，未曾接入或依賴富宇大地內部中繼泵浦、加壓蓄水池、變電設備或污水處理機電設備。</w:t>
      </w:r>
    </w:p>
    <w:p>
      <w:pPr>
        <w:spacing w:after="120" w:line="312" w:lineRule="auto"/>
      </w:pPr>
      <w:r>
        <w:rPr>
          <w:rFonts w:ascii="PingFang TC" w:hAnsi="PingFang TC"/>
          <w:color w:val="2D3748"/>
          <w:sz w:val="20"/>
        </w:rPr>
        <w:t>3. 廢棄物清運與公共設施之自理承諾：申請人 6 戶日常生活廢棄物，歷來均於門前龍社路定點等候臺中市政府環境保護局公有垃圾車定時清運，從未使用富宇大地封閉社區內部之收費垃圾子母車；申請人全體並已共同簽署《共用設施無依賴切結與生活垃圾自行清運承諾書》，自願切結永久放棄內部各項休閒公設與子母車使用權，物理與管理上毫無糾葛。</w:t>
      </w:r>
    </w:p>
    <w:p>
      <w:pPr>
        <w:spacing w:before="200" w:after="80"/>
      </w:pPr>
      <w:r>
        <w:rPr>
          <w:rFonts w:ascii="PingFang TC" w:hAnsi="PingFang TC"/>
          <w:b/>
          <w:color w:val="D97706"/>
          <w:sz w:val="24"/>
        </w:rPr>
        <w:t>（三）財務會計事實：相對人自始將 A2 款項專單列卷保管，財務獨立性客觀明確</w:t>
      </w:r>
    </w:p>
    <w:p>
      <w:pPr>
        <w:spacing w:after="120" w:line="312" w:lineRule="auto"/>
      </w:pPr>
      <w:r>
        <w:rPr>
          <w:rFonts w:ascii="PingFang TC" w:hAnsi="PingFang TC"/>
          <w:color w:val="2D3748"/>
          <w:sz w:val="20"/>
        </w:rPr>
        <w:t>查相對人於民國 115 年 5 月 6 日第二屆第 X 次例會【待查證：會議日期早於合併報備日，標示待查】決議事項，以及民國 115 年 9 月份公布之財務報表中，明確記載相對人將臺中市政府核退公款於新光銀行開立分區定存，其中編號第 2 筆即獨立記載為「A2 大境區定存單 NT$ 220,231 元」專單保管，足徵相對人於財務會計實務上，自始肯認該筆款項歸屬之獨立性。另起造人富宇建設當初按戶提撥之交屋管理基金（每戶 10,000 元，A2 區 6 戶合計 60,000 元），自合併報備以來亦未與 A2 區日常管理消耗產生實質關聯。本件兩項專案款項本金合計為 280,231 元（220,231 元 ＋ 60,000 元，未計利息），款項界限客觀清晰，移交處置分毫未損及大社區其餘 235 戶既有之公共基金營運老本。</w:t>
      </w:r>
    </w:p>
    <w:p>
      <w:pPr>
        <w:spacing w:before="200" w:after="80"/>
      </w:pPr>
      <w:r>
        <w:rPr>
          <w:rFonts w:ascii="PingFang TC" w:hAnsi="PingFang TC"/>
          <w:b/>
          <w:color w:val="D97706"/>
          <w:sz w:val="24"/>
        </w:rPr>
        <w:t>（四）爭議解決策略：藉由公部門調處化解對立，促成依法循《條例》第 31 條特別決議落實管理最適化</w:t>
      </w:r>
    </w:p>
    <w:p>
      <w:pPr>
        <w:spacing w:after="120" w:line="312" w:lineRule="auto"/>
      </w:pPr>
      <w:r>
        <w:rPr>
          <w:rFonts w:ascii="PingFang TC" w:hAnsi="PingFang TC"/>
          <w:color w:val="2D3748"/>
          <w:sz w:val="20"/>
        </w:rPr>
        <w:t>申請人深知管理範圍之縮減涉及社區規約第二條之修訂，依現行法制應由全體區權會獲致特別決議。爰依《公寓大廈管理條例》第 59 條之 1 規定申請調處，期能藉由貴委員會公正專家之協調，使兩造達成和解：由相對人管委會以中立客觀立場，將管理範圍修正案正式排入大會議程，促成兩造平穩分流，共創雙贏。</w:t>
      </w:r>
    </w:p>
    <w:p>
      <w:pPr>
        <w:spacing w:before="240" w:after="120"/>
      </w:pPr>
      <w:r>
        <w:rPr>
          <w:rFonts w:ascii="PingFang TC" w:hAnsi="PingFang TC"/>
          <w:b/>
          <w:color w:val="DE5814"/>
          <w:sz w:val="26"/>
        </w:rPr>
        <w:t>四、證據清單</w:t>
      </w:r>
    </w:p>
    <w:tbl>
      <w:tblPr>
        <w:tblW w:type="auto" w:w="0"/>
        <w:jc w:val="center"/>
        <w:tblLook w:firstColumn="1" w:firstRow="1" w:lastColumn="0" w:lastRow="0" w:noHBand="0" w:noVBand="1" w:val="04A0"/>
      </w:tblPr>
      <w:tblGrid>
        <w:gridCol w:w="2401"/>
        <w:gridCol w:w="2401"/>
        <w:gridCol w:w="2401"/>
        <w:gridCol w:w="2401"/>
      </w:tblGrid>
      <w:tr>
        <w:tc>
          <w:tcPr>
            <w:tcW w:type="dxa" w:w="2401"/>
            <w:shd w:fill="2D3748"/>
          </w:tcPr>
          <w:p>
            <w:r>
              <w:rPr>
                <w:b/>
                <w:color w:val="FFFFFF"/>
                <w:sz w:val="19"/>
              </w:rPr>
              <w:t>編號</w:t>
            </w:r>
          </w:p>
        </w:tc>
        <w:tc>
          <w:tcPr>
            <w:tcW w:type="dxa" w:w="2401"/>
            <w:shd w:fill="2D3748"/>
          </w:tcPr>
          <w:p>
            <w:r>
              <w:rPr>
                <w:b/>
                <w:color w:val="FFFFFF"/>
                <w:sz w:val="19"/>
              </w:rPr>
              <w:t>證據名稱</w:t>
            </w:r>
          </w:p>
        </w:tc>
        <w:tc>
          <w:tcPr>
            <w:tcW w:type="dxa" w:w="2401"/>
            <w:shd w:fill="2D3748"/>
          </w:tcPr>
          <w:p>
            <w:r>
              <w:rPr>
                <w:b/>
                <w:color w:val="FFFFFF"/>
                <w:sz w:val="19"/>
              </w:rPr>
              <w:t>性質 / 來源</w:t>
            </w:r>
          </w:p>
        </w:tc>
        <w:tc>
          <w:tcPr>
            <w:tcW w:type="dxa" w:w="2401"/>
            <w:shd w:fill="2D3748"/>
          </w:tcPr>
          <w:p>
            <w:r>
              <w:rPr>
                <w:b/>
                <w:color w:val="FFFFFF"/>
                <w:sz w:val="19"/>
              </w:rPr>
              <w:t>證明要點</w:t>
            </w:r>
          </w:p>
        </w:tc>
      </w:tr>
      <w:tr>
        <w:tc>
          <w:tcPr>
            <w:tcW w:type="dxa" w:w="2401"/>
            <w:shd w:fill="F8FAFC"/>
          </w:tcPr>
          <w:p>
            <w:r>
              <w:rPr>
                <w:color w:val="2D3748"/>
                <w:sz w:val="18"/>
              </w:rPr>
              <w:t>證物一</w:t>
            </w:r>
          </w:p>
        </w:tc>
        <w:tc>
          <w:tcPr>
            <w:tcW w:type="dxa" w:w="2401"/>
            <w:shd w:fill="F8FAFC"/>
          </w:tcPr>
          <w:p>
            <w:r>
              <w:rPr>
                <w:color w:val="2D3748"/>
                <w:sz w:val="18"/>
              </w:rPr>
              <w:t>申請人 6 戶區分所有權人連署暨委任書冊</w:t>
            </w:r>
          </w:p>
        </w:tc>
        <w:tc>
          <w:tcPr>
            <w:tcW w:type="dxa" w:w="2401"/>
            <w:shd w:fill="F8FAFC"/>
          </w:tcPr>
          <w:p>
            <w:r>
              <w:rPr>
                <w:color w:val="2D3748"/>
                <w:sz w:val="18"/>
              </w:rPr>
              <w:t>原本</w:t>
            </w:r>
          </w:p>
        </w:tc>
        <w:tc>
          <w:tcPr>
            <w:tcW w:type="dxa" w:w="2401"/>
            <w:shd w:fill="F8FAFC"/>
          </w:tcPr>
          <w:p>
            <w:r>
              <w:rPr>
                <w:color w:val="2D3748"/>
                <w:sz w:val="18"/>
              </w:rPr>
              <w:t>證明全體 6 戶區權人一致委任廖倫豪提出調處與協商。</w:t>
            </w:r>
          </w:p>
        </w:tc>
      </w:tr>
      <w:tr>
        <w:tc>
          <w:tcPr>
            <w:tcW w:type="dxa" w:w="2401"/>
          </w:tcPr>
          <w:p>
            <w:r>
              <w:rPr>
                <w:color w:val="2D3748"/>
                <w:sz w:val="18"/>
              </w:rPr>
              <w:t>證物二</w:t>
            </w:r>
          </w:p>
        </w:tc>
        <w:tc>
          <w:tcPr>
            <w:tcW w:type="dxa" w:w="2401"/>
          </w:tcPr>
          <w:p>
            <w:r>
              <w:rPr>
                <w:color w:val="2D3748"/>
                <w:sz w:val="18"/>
              </w:rPr>
              <w:t>龍社路 593 至 603 號建物與土地第一類登記謄本</w:t>
            </w:r>
          </w:p>
        </w:tc>
        <w:tc>
          <w:tcPr>
            <w:tcW w:type="dxa" w:w="2401"/>
          </w:tcPr>
          <w:p>
            <w:r>
              <w:rPr>
                <w:color w:val="2D3748"/>
                <w:sz w:val="18"/>
              </w:rPr>
              <w:t>原本（地政事務所）</w:t>
            </w:r>
          </w:p>
        </w:tc>
        <w:tc>
          <w:tcPr>
            <w:tcW w:type="dxa" w:w="2401"/>
          </w:tcPr>
          <w:p>
            <w:r>
              <w:rPr>
                <w:color w:val="2D3748"/>
                <w:sz w:val="18"/>
              </w:rPr>
              <w:t>證明申請人等之合法區分所有產權資格與共有持分現況。</w:t>
            </w:r>
          </w:p>
        </w:tc>
      </w:tr>
      <w:tr>
        <w:tc>
          <w:tcPr>
            <w:tcW w:type="dxa" w:w="2401"/>
            <w:shd w:fill="F8FAFC"/>
          </w:tcPr>
          <w:p>
            <w:r>
              <w:rPr>
                <w:color w:val="2D3748"/>
                <w:sz w:val="18"/>
              </w:rPr>
              <w:t>證物三</w:t>
            </w:r>
          </w:p>
        </w:tc>
        <w:tc>
          <w:tcPr>
            <w:tcW w:type="dxa" w:w="2401"/>
            <w:shd w:fill="F8FAFC"/>
          </w:tcPr>
          <w:p>
            <w:r>
              <w:rPr>
                <w:color w:val="2D3748"/>
                <w:sz w:val="18"/>
              </w:rPr>
              <w:t>富宇大地全區現況配置圖與出入地籍標註示意圖</w:t>
            </w:r>
          </w:p>
        </w:tc>
        <w:tc>
          <w:tcPr>
            <w:tcW w:type="dxa" w:w="2401"/>
            <w:shd w:fill="F8FAFC"/>
          </w:tcPr>
          <w:p>
            <w:r>
              <w:rPr>
                <w:color w:val="2D3748"/>
                <w:sz w:val="18"/>
              </w:rPr>
              <w:t>影本（標註圖）</w:t>
            </w:r>
          </w:p>
        </w:tc>
        <w:tc>
          <w:tcPr>
            <w:tcW w:type="dxa" w:w="2401"/>
            <w:shd w:fill="F8FAFC"/>
          </w:tcPr>
          <w:p>
            <w:r>
              <w:rPr>
                <w:color w:val="2D3748"/>
                <w:sz w:val="18"/>
              </w:rPr>
              <w:t>證明 A2 區面臨龍社路公有計畫道路獨立出入，無袋地通行問題。</w:t>
            </w:r>
          </w:p>
        </w:tc>
      </w:tr>
      <w:tr>
        <w:tc>
          <w:tcPr>
            <w:tcW w:type="dxa" w:w="2401"/>
          </w:tcPr>
          <w:p>
            <w:r>
              <w:rPr>
                <w:color w:val="2D3748"/>
                <w:sz w:val="18"/>
              </w:rPr>
              <w:t>證物四</w:t>
            </w:r>
          </w:p>
        </w:tc>
        <w:tc>
          <w:tcPr>
            <w:tcW w:type="dxa" w:w="2401"/>
          </w:tcPr>
          <w:p>
            <w:r>
              <w:rPr>
                <w:color w:val="2D3748"/>
                <w:sz w:val="18"/>
              </w:rPr>
              <w:t>富宇大地管委會 115 年 9 月份財務月報表摘要</w:t>
            </w:r>
          </w:p>
        </w:tc>
        <w:tc>
          <w:tcPr>
            <w:tcW w:type="dxa" w:w="2401"/>
          </w:tcPr>
          <w:p>
            <w:r>
              <w:rPr>
                <w:color w:val="2D3748"/>
                <w:sz w:val="18"/>
              </w:rPr>
              <w:t>影本（公佈欄翻拍）</w:t>
            </w:r>
          </w:p>
        </w:tc>
        <w:tc>
          <w:tcPr>
            <w:tcW w:type="dxa" w:w="2401"/>
          </w:tcPr>
          <w:p>
            <w:r>
              <w:rPr>
                <w:color w:val="2D3748"/>
                <w:sz w:val="18"/>
              </w:rPr>
              <w:t>證明新光銀行「A2 大境定存單 220,231 元」獨立立卷專單保管事實。</w:t>
            </w:r>
          </w:p>
        </w:tc>
      </w:tr>
      <w:tr>
        <w:tc>
          <w:tcPr>
            <w:tcW w:type="dxa" w:w="2401"/>
            <w:shd w:fill="F8FAFC"/>
          </w:tcPr>
          <w:p>
            <w:r>
              <w:rPr>
                <w:color w:val="2D3748"/>
                <w:sz w:val="18"/>
              </w:rPr>
              <w:t>證物五</w:t>
            </w:r>
          </w:p>
        </w:tc>
        <w:tc>
          <w:tcPr>
            <w:tcW w:type="dxa" w:w="2401"/>
            <w:shd w:fill="F8FAFC"/>
          </w:tcPr>
          <w:p>
            <w:r>
              <w:rPr>
                <w:color w:val="2D3748"/>
                <w:sz w:val="18"/>
              </w:rPr>
              <w:t>A2 區共用設施無依賴切結與生活垃圾自行清運承諾書</w:t>
            </w:r>
          </w:p>
        </w:tc>
        <w:tc>
          <w:tcPr>
            <w:tcW w:type="dxa" w:w="2401"/>
            <w:shd w:fill="F8FAFC"/>
          </w:tcPr>
          <w:p>
            <w:r>
              <w:rPr>
                <w:color w:val="2D3748"/>
                <w:sz w:val="18"/>
              </w:rPr>
              <w:t>原本</w:t>
            </w:r>
          </w:p>
        </w:tc>
        <w:tc>
          <w:tcPr>
            <w:tcW w:type="dxa" w:w="2401"/>
            <w:shd w:fill="F8FAFC"/>
          </w:tcPr>
          <w:p>
            <w:r>
              <w:rPr>
                <w:color w:val="2D3748"/>
                <w:sz w:val="18"/>
              </w:rPr>
              <w:t>證明生活機能自理，主動免除大社區公設容量負擔之切結保證。</w:t>
            </w:r>
          </w:p>
        </w:tc>
      </w:tr>
      <w:tr>
        <w:tc>
          <w:tcPr>
            <w:tcW w:type="dxa" w:w="2401"/>
          </w:tcPr>
          <w:p>
            <w:r>
              <w:rPr>
                <w:color w:val="2D3748"/>
                <w:sz w:val="18"/>
              </w:rPr>
              <w:t>證物六</w:t>
            </w:r>
          </w:p>
        </w:tc>
        <w:tc>
          <w:tcPr>
            <w:tcW w:type="dxa" w:w="2401"/>
          </w:tcPr>
          <w:p>
            <w:r>
              <w:rPr>
                <w:color w:val="2D3748"/>
                <w:sz w:val="18"/>
              </w:rPr>
              <w:t>區公所 115 年 5 月 14 日合併報備證明公文</w:t>
            </w:r>
          </w:p>
        </w:tc>
        <w:tc>
          <w:tcPr>
            <w:tcW w:type="dxa" w:w="2401"/>
          </w:tcPr>
          <w:p>
            <w:r>
              <w:rPr>
                <w:color w:val="2D3748"/>
                <w:sz w:val="18"/>
              </w:rPr>
              <w:t>影本【尚待調閱原本】</w:t>
            </w:r>
          </w:p>
        </w:tc>
        <w:tc>
          <w:tcPr>
            <w:tcW w:type="dxa" w:w="2401"/>
          </w:tcPr>
          <w:p>
            <w:r>
              <w:rPr>
                <w:color w:val="2D3748"/>
                <w:sz w:val="18"/>
              </w:rPr>
              <w:t>證明富宇大地現行合併報備管轄效力與 241 戶基準。</w:t>
            </w:r>
          </w:p>
        </w:tc>
      </w:tr>
    </w:tbl>
    <w:p>
      <w:pPr>
        <w:spacing w:after="120"/>
      </w:pPr>
    </w:p>
    <w:p>
      <w:pPr>
        <w:spacing w:before="240" w:after="120"/>
      </w:pPr>
      <w:r>
        <w:rPr>
          <w:rFonts w:ascii="PingFang TC" w:hAnsi="PingFang TC"/>
          <w:b/>
          <w:color w:val="DE5814"/>
          <w:sz w:val="26"/>
        </w:rPr>
        <w:t>五、簽章欄</w:t>
      </w:r>
    </w:p>
    <w:p>
      <w:pPr>
        <w:spacing w:after="120" w:line="312" w:lineRule="auto"/>
      </w:pPr>
      <w:r>
        <w:rPr>
          <w:rFonts w:ascii="PingFang TC" w:hAnsi="PingFang TC"/>
          <w:color w:val="2D3748"/>
          <w:sz w:val="20"/>
        </w:rPr>
        <w:t>申請人簽章：</w:t>
      </w:r>
    </w:p>
    <w:p>
      <w:pPr>
        <w:spacing w:after="120" w:line="312" w:lineRule="auto"/>
      </w:pPr>
      <w:r>
        <w:rPr>
          <w:rFonts w:ascii="PingFang TC" w:hAnsi="PingFang TC"/>
          <w:color w:val="2D3748"/>
          <w:sz w:val="20"/>
        </w:rPr>
        <w:t>龍社路 593 號 區權人：_______________（簽章）</w:t>
      </w:r>
    </w:p>
    <w:p>
      <w:pPr>
        <w:spacing w:after="120" w:line="312" w:lineRule="auto"/>
      </w:pPr>
      <w:r>
        <w:rPr>
          <w:rFonts w:ascii="PingFang TC" w:hAnsi="PingFang TC"/>
          <w:color w:val="2D3748"/>
          <w:sz w:val="20"/>
        </w:rPr>
        <w:t>龍社路 595 號 區權人：_______________（簽章）</w:t>
      </w:r>
    </w:p>
    <w:p>
      <w:pPr>
        <w:spacing w:after="120" w:line="312" w:lineRule="auto"/>
      </w:pPr>
      <w:r>
        <w:rPr>
          <w:rFonts w:ascii="PingFang TC" w:hAnsi="PingFang TC"/>
          <w:color w:val="2D3748"/>
          <w:sz w:val="20"/>
        </w:rPr>
        <w:t>龍社路 597 號 區權人：_______________（簽章）</w:t>
      </w:r>
    </w:p>
    <w:p>
      <w:pPr>
        <w:spacing w:after="120" w:line="312" w:lineRule="auto"/>
      </w:pPr>
      <w:r>
        <w:rPr>
          <w:rFonts w:ascii="PingFang TC" w:hAnsi="PingFang TC"/>
          <w:color w:val="2D3748"/>
          <w:sz w:val="20"/>
        </w:rPr>
        <w:t>龍社路 599 號 區權人：_______________（簽章）</w:t>
      </w:r>
    </w:p>
    <w:p>
      <w:pPr>
        <w:spacing w:after="120" w:line="312" w:lineRule="auto"/>
      </w:pPr>
      <w:r>
        <w:rPr>
          <w:rFonts w:ascii="PingFang TC" w:hAnsi="PingFang TC"/>
          <w:color w:val="2D3748"/>
          <w:sz w:val="20"/>
        </w:rPr>
        <w:t>龍社路 601 號 區權人：_______________（簽章）</w:t>
      </w:r>
    </w:p>
    <w:p>
      <w:pPr>
        <w:spacing w:after="120" w:line="312" w:lineRule="auto"/>
      </w:pPr>
      <w:r>
        <w:rPr>
          <w:rFonts w:ascii="PingFang TC" w:hAnsi="PingFang TC"/>
          <w:color w:val="2D3748"/>
          <w:sz w:val="20"/>
        </w:rPr>
        <w:t>龍社路 603 號 區權人：_______________（簽章）</w:t>
      </w:r>
    </w:p>
    <w:p>
      <w:pPr>
        <w:spacing w:after="120" w:line="312" w:lineRule="auto"/>
      </w:pPr>
      <w:r>
        <w:rPr>
          <w:rFonts w:ascii="PingFang TC" w:hAnsi="PingFang TC"/>
          <w:color w:val="2D3748"/>
          <w:sz w:val="20"/>
        </w:rPr>
        <w:t>申請人共同代理人：廖倫豪（親筆簽名捺印）</w:t>
      </w:r>
    </w:p>
    <w:p>
      <w:pPr>
        <w:spacing w:after="120" w:line="312" w:lineRule="auto"/>
      </w:pPr>
      <w:r>
        <w:rPr>
          <w:rFonts w:ascii="PingFang TC" w:hAnsi="PingFang TC"/>
          <w:color w:val="2D3748"/>
          <w:sz w:val="20"/>
        </w:rPr>
        <w:t>通訊地址：臺中市沙鹿區龍社路 595 號</w:t>
      </w:r>
    </w:p>
    <w:p>
      <w:pPr>
        <w:spacing w:after="120" w:line="312" w:lineRule="auto"/>
      </w:pPr>
      <w:r>
        <w:rPr>
          <w:rFonts w:ascii="PingFang TC" w:hAnsi="PingFang TC"/>
          <w:color w:val="2D3748"/>
          <w:sz w:val="20"/>
        </w:rPr>
        <w:t>中華民國 115 年【待查證】月【待查證】日</w:t>
      </w:r>
    </w:p>
    <w:p>
      <w:pPr>
        <w:spacing w:after="120" w:line="312" w:lineRule="auto"/>
      </w:pPr>
      <w:r>
        <w:rPr>
          <w:rFonts w:ascii="PingFang TC" w:hAnsi="PingFang TC"/>
          <w:color w:val="2D3748"/>
          <w:sz w:val="20"/>
        </w:rPr>
        <w:t>&lt;!-- PAGE BREAK --&gt;</w:t>
      </w:r>
    </w:p>
    <w:p>
      <w:pPr>
        <w:spacing w:after="120" w:line="312" w:lineRule="auto"/>
      </w:pPr>
      <w:r>
        <w:rPr>
          <w:rFonts w:ascii="PingFang TC" w:hAnsi="PingFang TC"/>
          <w:color w:val="2D3748"/>
          <w:sz w:val="20"/>
        </w:rPr>
        <w:t># 依《公寓大廈管理條例》第 35 條請求閱覽影印資料函</w:t>
      </w:r>
    </w:p>
    <w:p>
      <w:pPr>
        <w:spacing w:after="120" w:line="312" w:lineRule="auto"/>
      </w:pPr>
      <w:r>
        <w:rPr>
          <w:rFonts w:ascii="PingFang TC" w:hAnsi="PingFang TC"/>
          <w:color w:val="2D3748"/>
          <w:sz w:val="20"/>
        </w:rPr>
        <w:t>發文字號：富大境字第 115【待查證】號</w:t>
      </w:r>
    </w:p>
    <w:p>
      <w:pPr>
        <w:spacing w:after="120" w:line="312" w:lineRule="auto"/>
      </w:pPr>
      <w:r>
        <w:rPr>
          <w:rFonts w:ascii="PingFang TC" w:hAnsi="PingFang TC"/>
          <w:color w:val="2D3748"/>
          <w:sz w:val="20"/>
        </w:rPr>
        <w:t>受文者：富宇大地社區管理委員會</w:t>
      </w:r>
    </w:p>
    <w:p>
      <w:pPr>
        <w:spacing w:after="120" w:line="312" w:lineRule="auto"/>
      </w:pPr>
      <w:r>
        <w:rPr>
          <w:rFonts w:ascii="PingFang TC" w:hAnsi="PingFang TC"/>
          <w:color w:val="2D3748"/>
          <w:sz w:val="20"/>
        </w:rPr>
        <w:t>副本：臺中市【待查證：龍井區或沙鹿區】公所、主管機關臺中市政府都市發展局</w:t>
      </w:r>
    </w:p>
    <w:p>
      <w:pPr>
        <w:spacing w:after="120" w:line="312" w:lineRule="auto"/>
      </w:pPr>
      <w:r>
        <w:rPr>
          <w:rFonts w:ascii="PingFang TC" w:hAnsi="PingFang TC"/>
          <w:color w:val="2D3748"/>
          <w:sz w:val="20"/>
        </w:rPr>
        <w:t>發文日期：中華民國 115 年【待查證】月【待查證】日</w:t>
      </w:r>
    </w:p>
    <w:p>
      <w:pPr>
        <w:spacing w:after="120" w:line="312" w:lineRule="auto"/>
      </w:pPr>
      <w:r>
        <w:rPr>
          <w:rFonts w:ascii="PingFang TC" w:hAnsi="PingFang TC"/>
          <w:color w:val="2D3748"/>
          <w:sz w:val="20"/>
        </w:rPr>
        <w:t>速別：最速件</w:t>
      </w:r>
    </w:p>
    <w:p>
      <w:pPr>
        <w:spacing w:after="120" w:line="312" w:lineRule="auto"/>
      </w:pPr>
      <w:r>
        <w:rPr>
          <w:rFonts w:ascii="PingFang TC" w:hAnsi="PingFang TC"/>
          <w:color w:val="2D3748"/>
          <w:sz w:val="20"/>
        </w:rPr>
        <w:t>主旨：</w:t>
      </w:r>
    </w:p>
    <w:p>
      <w:pPr>
        <w:spacing w:after="120" w:line="312" w:lineRule="auto"/>
      </w:pPr>
      <w:r>
        <w:rPr>
          <w:rFonts w:ascii="PingFang TC" w:hAnsi="PingFang TC"/>
          <w:color w:val="2D3748"/>
          <w:sz w:val="20"/>
        </w:rPr>
        <w:t>為維護區分所有權人合法權益並釐清社區資產與規約現況，本區全體 6 戶區分所有權人謹依《公寓大廈管理條例》第 35 條規定，正式向貴管理委員會申請閱覽、影印如說明二所示之會議紀錄、財務報表及報備公文等文件，敬請於文到 7 日內惠予排定查閱時間與提供影本，請 查照惠復。</w:t>
      </w:r>
    </w:p>
    <w:p>
      <w:pPr>
        <w:spacing w:after="120" w:line="312" w:lineRule="auto"/>
      </w:pPr>
      <w:r>
        <w:rPr>
          <w:rFonts w:ascii="PingFang TC" w:hAnsi="PingFang TC"/>
          <w:color w:val="2D3748"/>
          <w:sz w:val="20"/>
        </w:rPr>
        <w:t>說明：</w:t>
      </w:r>
    </w:p>
    <w:p>
      <w:pPr>
        <w:spacing w:after="120" w:line="312" w:lineRule="auto"/>
      </w:pPr>
      <w:r>
        <w:rPr>
          <w:rFonts w:ascii="PingFang TC" w:hAnsi="PingFang TC"/>
          <w:color w:val="2D3748"/>
          <w:sz w:val="20"/>
        </w:rPr>
        <w:t>一、法規依據：</w:t>
      </w:r>
    </w:p>
    <w:p>
      <w:pPr>
        <w:spacing w:after="120" w:line="312" w:lineRule="auto"/>
      </w:pPr>
      <w:r>
        <w:rPr>
          <w:rFonts w:ascii="PingFang TC" w:hAnsi="PingFang TC"/>
          <w:color w:val="2D3748"/>
          <w:sz w:val="20"/>
        </w:rPr>
        <w:t>按《公寓大廈管理條例》第 35 條明定：「利害關係人於必要時，得請求閱覽或影印規約、公共基金餘額、會計憑證、會計帳簿、財務報表、欠繳公共基金與應分攤或其他應負擔費用情形、管理委員會會議紀錄及前條第三項所列之文件，管理負責人或管理委員會不得拒絕。」次按同條例第 48 條第 1 款規定，管理負責人、主任委員或管理委員無正當理由違反第 35 條規定拒絕利害關係人閱覽或影印者，由主管機關處新臺幣三千元以上一萬五千元以下罰鍰，並得令其限期改善，合先敘明。</w:t>
      </w:r>
    </w:p>
    <w:p>
      <w:pPr>
        <w:spacing w:after="120" w:line="312" w:lineRule="auto"/>
      </w:pPr>
      <w:r>
        <w:rPr>
          <w:rFonts w:ascii="PingFang TC" w:hAnsi="PingFang TC"/>
          <w:color w:val="2D3748"/>
          <w:sz w:val="20"/>
        </w:rPr>
        <w:t>二、申請閱覽與影印之標的清單：</w:t>
      </w:r>
    </w:p>
    <w:p>
      <w:pPr>
        <w:spacing w:after="120" w:line="312" w:lineRule="auto"/>
      </w:pPr>
      <w:r>
        <w:rPr>
          <w:rFonts w:ascii="PingFang TC" w:hAnsi="PingFang TC"/>
          <w:color w:val="2D3748"/>
          <w:sz w:val="20"/>
        </w:rPr>
        <w:t>1. 管理委員會會議紀錄：民國 115 年 5 月 6 日第二屆第 X 次例行管理委員會會議紀錄全份（含出席簽到簿、決議各區分別定存辦理方式之議題完整內容）。</w:t>
      </w:r>
    </w:p>
    <w:p>
      <w:pPr>
        <w:spacing w:after="120" w:line="312" w:lineRule="auto"/>
      </w:pPr>
      <w:r>
        <w:rPr>
          <w:rFonts w:ascii="PingFang TC" w:hAnsi="PingFang TC"/>
          <w:color w:val="2D3748"/>
          <w:sz w:val="20"/>
        </w:rPr>
        <w:t>2. 當期及歷史財務會計文件：</w:t>
      </w:r>
    </w:p>
    <w:p>
      <w:pPr>
        <w:spacing w:after="120" w:line="312" w:lineRule="auto"/>
      </w:pPr>
      <w:r>
        <w:rPr>
          <w:rFonts w:ascii="PingFang TC" w:hAnsi="PingFang TC"/>
          <w:color w:val="2D3748"/>
          <w:sz w:val="20"/>
        </w:rPr>
        <w:t>- 民國 115 年 5 月份至 9 月份（及最新月份）之財務月報表、收支明細表、資產負債表。</w:t>
      </w:r>
    </w:p>
    <w:p>
      <w:pPr>
        <w:spacing w:after="120" w:line="312" w:lineRule="auto"/>
      </w:pPr>
      <w:r>
        <w:rPr>
          <w:rFonts w:ascii="PingFang TC" w:hAnsi="PingFang TC"/>
          <w:color w:val="2D3748"/>
          <w:sz w:val="20"/>
        </w:rPr>
        <w:t>- 新光銀行「A2 大境區定存單」（面額 220,231 元）之原始存單存根影本、起息日、利率及孳息明細表。</w:t>
      </w:r>
    </w:p>
    <w:p>
      <w:pPr>
        <w:spacing w:after="120" w:line="312" w:lineRule="auto"/>
      </w:pPr>
      <w:r>
        <w:rPr>
          <w:rFonts w:ascii="PingFang TC" w:hAnsi="PingFang TC"/>
          <w:color w:val="2D3748"/>
          <w:sz w:val="20"/>
        </w:rPr>
        <w:t>- 起造人富宇建設交付管委會之「交屋管理基金」（含 A2 區每戶 10,000 元，共 60,000 元）撥付傳票與專戶明細帳冊。</w:t>
      </w:r>
    </w:p>
    <w:p>
      <w:pPr>
        <w:spacing w:after="120" w:line="312" w:lineRule="auto"/>
      </w:pPr>
      <w:r>
        <w:rPr>
          <w:rFonts w:ascii="PingFang TC" w:hAnsi="PingFang TC"/>
          <w:color w:val="2D3748"/>
          <w:sz w:val="20"/>
        </w:rPr>
        <w:t>3. 規約與報備法定公文原本：</w:t>
      </w:r>
    </w:p>
    <w:p>
      <w:pPr>
        <w:spacing w:after="120" w:line="312" w:lineRule="auto"/>
      </w:pPr>
      <w:r>
        <w:rPr>
          <w:rFonts w:ascii="PingFang TC" w:hAnsi="PingFang TC"/>
          <w:color w:val="2D3748"/>
          <w:sz w:val="20"/>
        </w:rPr>
        <w:t>- 現行經區公所備查生效之《富宇大地社區規約》全份原本（含所有條文、管理費標準及附屬規則）。</w:t>
      </w:r>
    </w:p>
    <w:p>
      <w:pPr>
        <w:spacing w:after="120" w:line="312" w:lineRule="auto"/>
      </w:pPr>
      <w:r>
        <w:rPr>
          <w:rFonts w:ascii="PingFang TC" w:hAnsi="PingFang TC"/>
          <w:color w:val="2D3748"/>
          <w:sz w:val="20"/>
        </w:rPr>
        <w:t>- 民國 115 年 5 月 14 日向主管機關申報 241 戶合併報備之全套公文原本（含報備申請書、自主檢查表、公所核准備查函、全區建築物配置清冊）。</w:t>
      </w:r>
    </w:p>
    <w:p>
      <w:pPr>
        <w:spacing w:after="120" w:line="312" w:lineRule="auto"/>
      </w:pPr>
      <w:r>
        <w:rPr>
          <w:rFonts w:ascii="PingFang TC" w:hAnsi="PingFang TC"/>
          <w:color w:val="2D3748"/>
          <w:sz w:val="20"/>
        </w:rPr>
        <w:t>三、作業期限與費用負擔：</w:t>
      </w:r>
    </w:p>
    <w:p>
      <w:pPr>
        <w:spacing w:after="120" w:line="312" w:lineRule="auto"/>
      </w:pPr>
      <w:r>
        <w:rPr>
          <w:rFonts w:ascii="PingFang TC" w:hAnsi="PingFang TC"/>
          <w:color w:val="2D3748"/>
          <w:sz w:val="20"/>
        </w:rPr>
        <w:t>請貴會於收受本函翌日起算 7 日內，指派專人聯繫受託代表廖倫豪先生（電話：09XX-XXX-XXX），排定於社區管理室現場閱覽正本並交付影印本。查閱與影印所需之紙張規費，由申請人全額核實支付，絕不增加貴會負擔。倘貴會無正當理由逾期不予置理，申請人將依法報請主管機關進行行政裁處。</w:t>
      </w:r>
    </w:p>
    <w:p>
      <w:pPr>
        <w:spacing w:after="120" w:line="312" w:lineRule="auto"/>
      </w:pPr>
      <w:r>
        <w:rPr>
          <w:rFonts w:ascii="PingFang TC" w:hAnsi="PingFang TC"/>
          <w:color w:val="2D3748"/>
          <w:sz w:val="20"/>
        </w:rPr>
        <w:t>申請人（富宇大境 A2 區全體區權人簽章）：</w:t>
      </w:r>
    </w:p>
    <w:p>
      <w:pPr>
        <w:spacing w:after="120" w:line="312" w:lineRule="auto"/>
      </w:pPr>
      <w:r>
        <w:rPr>
          <w:rFonts w:ascii="PingFang TC" w:hAnsi="PingFang TC"/>
          <w:color w:val="2D3748"/>
          <w:sz w:val="20"/>
        </w:rPr>
        <w:t>龍社路 593 號 區權人：_______________（簽章）</w:t>
      </w:r>
    </w:p>
    <w:p>
      <w:pPr>
        <w:spacing w:after="120" w:line="312" w:lineRule="auto"/>
      </w:pPr>
      <w:r>
        <w:rPr>
          <w:rFonts w:ascii="PingFang TC" w:hAnsi="PingFang TC"/>
          <w:color w:val="2D3748"/>
          <w:sz w:val="20"/>
        </w:rPr>
        <w:t>龍社路 595 號 區權人：_______________（簽章）</w:t>
      </w:r>
    </w:p>
    <w:p>
      <w:pPr>
        <w:spacing w:after="120" w:line="312" w:lineRule="auto"/>
      </w:pPr>
      <w:r>
        <w:rPr>
          <w:rFonts w:ascii="PingFang TC" w:hAnsi="PingFang TC"/>
          <w:color w:val="2D3748"/>
          <w:sz w:val="20"/>
        </w:rPr>
        <w:t>龍社路 597 號 區權人：_______________（簽章）</w:t>
      </w:r>
    </w:p>
    <w:p>
      <w:pPr>
        <w:spacing w:after="120" w:line="312" w:lineRule="auto"/>
      </w:pPr>
      <w:r>
        <w:rPr>
          <w:rFonts w:ascii="PingFang TC" w:hAnsi="PingFang TC"/>
          <w:color w:val="2D3748"/>
          <w:sz w:val="20"/>
        </w:rPr>
        <w:t>龍社路 599 號 區權人：_______________（簽章）</w:t>
      </w:r>
    </w:p>
    <w:p>
      <w:pPr>
        <w:spacing w:after="120" w:line="312" w:lineRule="auto"/>
      </w:pPr>
      <w:r>
        <w:rPr>
          <w:rFonts w:ascii="PingFang TC" w:hAnsi="PingFang TC"/>
          <w:color w:val="2D3748"/>
          <w:sz w:val="20"/>
        </w:rPr>
        <w:t>龍社路 601 號 區權人：_______________（簽章）</w:t>
      </w:r>
    </w:p>
    <w:p>
      <w:pPr>
        <w:spacing w:after="120" w:line="312" w:lineRule="auto"/>
      </w:pPr>
      <w:r>
        <w:rPr>
          <w:rFonts w:ascii="PingFang TC" w:hAnsi="PingFang TC"/>
          <w:color w:val="2D3748"/>
          <w:sz w:val="20"/>
        </w:rPr>
        <w:t>龍社路 603 號 區權人：_______________（簽章）</w:t>
      </w:r>
    </w:p>
    <w:p>
      <w:pPr>
        <w:spacing w:after="120" w:line="312" w:lineRule="auto"/>
      </w:pPr>
      <w:r>
        <w:rPr>
          <w:rFonts w:ascii="PingFang TC" w:hAnsi="PingFang TC"/>
          <w:color w:val="2D3748"/>
          <w:sz w:val="20"/>
        </w:rPr>
        <w:t>受託代表：廖倫豪（簽章）</w:t>
      </w:r>
    </w:p>
    <w:p>
      <w:pPr>
        <w:spacing w:after="120" w:line="312" w:lineRule="auto"/>
      </w:pPr>
      <w:r>
        <w:rPr>
          <w:rFonts w:ascii="PingFang TC" w:hAnsi="PingFang TC"/>
          <w:color w:val="2D3748"/>
          <w:sz w:val="20"/>
        </w:rPr>
        <w:t>通訊地址：臺中市沙鹿區龍社路 595 號</w:t>
      </w:r>
    </w:p>
    <w:p>
      <w:pPr>
        <w:spacing w:after="120" w:line="312" w:lineRule="auto"/>
      </w:pPr>
      <w:r>
        <w:rPr>
          <w:rFonts w:ascii="PingFang TC" w:hAnsi="PingFang TC"/>
          <w:color w:val="2D3748"/>
          <w:sz w:val="20"/>
        </w:rPr>
        <w:t>&lt;!-- PAGE BREAK --&gt;</w:t>
      </w:r>
    </w:p>
    <w:p>
      <w:pPr>
        <w:spacing w:after="120" w:line="312" w:lineRule="auto"/>
      </w:pPr>
      <w:r>
        <w:rPr>
          <w:rFonts w:ascii="PingFang TC" w:hAnsi="PingFang TC"/>
          <w:color w:val="2D3748"/>
          <w:sz w:val="20"/>
        </w:rPr>
        <w:t># 富宇大境（A2 區）區分所有權人管理協商與調處委任書</w:t>
      </w:r>
    </w:p>
    <w:p>
      <w:pPr>
        <w:spacing w:after="120" w:line="312" w:lineRule="auto"/>
      </w:pPr>
      <w:r>
        <w:rPr>
          <w:rFonts w:ascii="PingFang TC" w:hAnsi="PingFang TC"/>
          <w:color w:val="2D3748"/>
          <w:sz w:val="20"/>
        </w:rPr>
        <w:t>委任人（即臺中市沙鹿區龍社路 593、595、597、599、601、603 號全體區分所有權人，含共有持分人全體）茲因辦理富宇大地社區管理範圍變更協商、臺中市政府公寓大廈爭議事件調處及款項專戶移交等事宜，特依法委任 受任人：廖倫豪 先生 為代理人，委任條款如下：</w:t>
      </w:r>
    </w:p>
    <w:p>
      <w:pPr>
        <w:spacing w:before="200" w:after="80"/>
      </w:pPr>
      <w:r>
        <w:rPr>
          <w:rFonts w:ascii="PingFang TC" w:hAnsi="PingFang TC"/>
          <w:b/>
          <w:color w:val="D97706"/>
          <w:sz w:val="24"/>
        </w:rPr>
        <w:t>第一條（委任授權範圍）</w:t>
      </w:r>
    </w:p>
    <w:p>
      <w:pPr>
        <w:spacing w:after="120" w:line="312" w:lineRule="auto"/>
      </w:pPr>
      <w:r>
        <w:rPr>
          <w:rFonts w:ascii="PingFang TC" w:hAnsi="PingFang TC"/>
          <w:color w:val="2D3748"/>
          <w:sz w:val="20"/>
        </w:rPr>
        <w:t>1. 代表委任人依《公寓大廈管理條例》第 35 條規定向富宇大地社區管理委員會行使文件閱覽、影印申請權。</w:t>
      </w:r>
    </w:p>
    <w:p>
      <w:pPr>
        <w:spacing w:after="120" w:line="312" w:lineRule="auto"/>
      </w:pPr>
      <w:r>
        <w:rPr>
          <w:rFonts w:ascii="PingFang TC" w:hAnsi="PingFang TC"/>
          <w:color w:val="2D3748"/>
          <w:sz w:val="20"/>
        </w:rPr>
        <w:t>2. 代表委任人出席富宇大地社區管委會例會、溝通協調會議，就「A2 區退出管理範圍及資產移交結算」進行協商與陳述意見。</w:t>
      </w:r>
    </w:p>
    <w:p>
      <w:pPr>
        <w:spacing w:after="120" w:line="312" w:lineRule="auto"/>
      </w:pPr>
      <w:r>
        <w:rPr>
          <w:rFonts w:ascii="PingFang TC" w:hAnsi="PingFang TC"/>
          <w:color w:val="2D3748"/>
          <w:sz w:val="20"/>
        </w:rPr>
        <w:t>3. 代表委任人依《公寓大廈管理條例》第 59 條之 1 規定，向臺中市政府公寓大廈爭議事件調處委員會提出調處申請、出席調處會議、陳述意見，並在符合本委任書約定之框架下作成和解（特別授權）。</w:t>
      </w:r>
    </w:p>
    <w:p>
      <w:pPr>
        <w:spacing w:after="120" w:line="312" w:lineRule="auto"/>
      </w:pPr>
      <w:r>
        <w:rPr>
          <w:rFonts w:ascii="PingFang TC" w:hAnsi="PingFang TC"/>
          <w:color w:val="2D3748"/>
          <w:sz w:val="20"/>
        </w:rPr>
        <w:t>4. 代表委任人向主管機關區公所、臺中市政府都市發展局等行政機關遞送、補正及收受相關行政報備通知公文。</w:t>
      </w:r>
    </w:p>
    <w:p>
      <w:pPr>
        <w:spacing w:before="200" w:after="80"/>
      </w:pPr>
      <w:r>
        <w:rPr>
          <w:rFonts w:ascii="PingFang TC" w:hAnsi="PingFang TC"/>
          <w:b/>
          <w:color w:val="D97706"/>
          <w:sz w:val="24"/>
        </w:rPr>
        <w:t>第二條（特別權限限制與款項禁止個人代收）</w:t>
      </w:r>
    </w:p>
    <w:p>
      <w:pPr>
        <w:spacing w:after="120" w:line="312" w:lineRule="auto"/>
      </w:pPr>
      <w:r>
        <w:rPr>
          <w:rFonts w:ascii="PingFang TC" w:hAnsi="PingFang TC"/>
          <w:color w:val="2D3748"/>
          <w:sz w:val="20"/>
        </w:rPr>
        <w:t>1. 嚴禁私人代收處分公款：受任人絕無代受任人個人收受、受領或提領任何本案返還款項之權限。所有因本案結算所返還之定存單款項（220,231 元及孳息【待查證】）或交屋管理基金（60,000 元），一律必須直接電匯入委任人全體設立之「富宇大境 A2 雙人簽章共管專戶」，不得流入受任人或任何個別區權人之私人帳戶。</w:t>
      </w:r>
    </w:p>
    <w:p>
      <w:pPr>
        <w:spacing w:after="120" w:line="312" w:lineRule="auto"/>
      </w:pPr>
      <w:r>
        <w:rPr>
          <w:rFonts w:ascii="PingFang TC" w:hAnsi="PingFang TC"/>
          <w:color w:val="2D3748"/>
          <w:sz w:val="20"/>
        </w:rPr>
        <w:t>2. 不動產私權限制：本委任純限於公寓大廈管理維護爭議之協商與程序代理，受任人絕對不得處分委任人名下之不動產物權（包含買賣、移轉、設定負擔或租賃等物權處分行為，委任人均未授權）。</w:t>
      </w:r>
    </w:p>
    <w:p>
      <w:pPr>
        <w:spacing w:before="200" w:after="80"/>
      </w:pPr>
      <w:r>
        <w:rPr>
          <w:rFonts w:ascii="PingFang TC" w:hAnsi="PingFang TC"/>
          <w:b/>
          <w:color w:val="D97706"/>
          <w:sz w:val="24"/>
        </w:rPr>
        <w:t>第三條（委任期限、禁止複委任與報告義務）</w:t>
      </w:r>
    </w:p>
    <w:p>
      <w:pPr>
        <w:spacing w:after="120" w:line="312" w:lineRule="auto"/>
      </w:pPr>
      <w:r>
        <w:rPr>
          <w:rFonts w:ascii="PingFang TC" w:hAnsi="PingFang TC"/>
          <w:color w:val="2D3748"/>
          <w:sz w:val="20"/>
        </w:rPr>
        <w:t>1. 委任期限：本委任有效期間自簽署之日起算為期 壹年。逾期若有展延必要，應經全體委任人書面換約。</w:t>
      </w:r>
    </w:p>
    <w:p>
      <w:pPr>
        <w:spacing w:after="120" w:line="312" w:lineRule="auto"/>
      </w:pPr>
      <w:r>
        <w:rPr>
          <w:rFonts w:ascii="PingFang TC" w:hAnsi="PingFang TC"/>
          <w:color w:val="2D3748"/>
          <w:sz w:val="20"/>
        </w:rPr>
        <w:t>2. 禁止複委任：受任人應親自處理本委任事務，不得複委任第三人代為處理。</w:t>
      </w:r>
    </w:p>
    <w:p>
      <w:pPr>
        <w:spacing w:after="120" w:line="312" w:lineRule="auto"/>
      </w:pPr>
      <w:r>
        <w:rPr>
          <w:rFonts w:ascii="PingFang TC" w:hAnsi="PingFang TC"/>
          <w:color w:val="2D3748"/>
          <w:sz w:val="20"/>
        </w:rPr>
        <w:t>3. 誠信報告與結算義務：受任人應於處理每階段重大事務（調處會議期日、管委會回函、區公所函覆）後 3 日內向委任人據實報告進度。於調處成立、大會決議通過或本委任終止時，應於 14 日內提出完整書面結算報告及憑證供委任人全體查核。</w:t>
      </w:r>
    </w:p>
    <w:p>
      <w:pPr>
        <w:spacing w:after="120" w:line="312" w:lineRule="auto"/>
      </w:pPr>
      <w:r>
        <w:rPr>
          <w:rFonts w:ascii="PingFang TC" w:hAnsi="PingFang TC"/>
          <w:color w:val="2D3748"/>
          <w:sz w:val="20"/>
        </w:rPr>
        <w:t>4. 個人資料保護專用：委任人所提供之個人身分資料，僅限本案向主管機關申報、調處送件及向管委會核對身分之特定目的使用，嚴禁外流。</w:t>
      </w:r>
    </w:p>
    <w:p>
      <w:pPr>
        <w:spacing w:after="120" w:line="312" w:lineRule="auto"/>
      </w:pPr>
      <w:r>
        <w:rPr>
          <w:rFonts w:ascii="PingFang TC" w:hAnsi="PingFang TC"/>
          <w:color w:val="2D3748"/>
          <w:sz w:val="20"/>
        </w:rPr>
        <w:t>委任人簽署名冊（含共有持分人全體親筆簽名印鑑）：</w:t>
      </w:r>
    </w:p>
    <w:p>
      <w:pPr>
        <w:spacing w:after="120" w:line="312" w:lineRule="auto"/>
      </w:pPr>
      <w:r>
        <w:rPr>
          <w:rFonts w:ascii="PingFang TC" w:hAnsi="PingFang TC"/>
          <w:color w:val="2D3748"/>
          <w:sz w:val="20"/>
        </w:rPr>
        <w:t>龍社路 593 號 區權人：_______________（簽章）</w:t>
      </w:r>
    </w:p>
    <w:p>
      <w:pPr>
        <w:spacing w:after="120" w:line="312" w:lineRule="auto"/>
      </w:pPr>
      <w:r>
        <w:rPr>
          <w:rFonts w:ascii="PingFang TC" w:hAnsi="PingFang TC"/>
          <w:color w:val="2D3748"/>
          <w:sz w:val="20"/>
        </w:rPr>
        <w:t>龍社路 595 號 區權人：_______________（簽章）</w:t>
      </w:r>
    </w:p>
    <w:p>
      <w:pPr>
        <w:spacing w:after="120" w:line="312" w:lineRule="auto"/>
      </w:pPr>
      <w:r>
        <w:rPr>
          <w:rFonts w:ascii="PingFang TC" w:hAnsi="PingFang TC"/>
          <w:color w:val="2D3748"/>
          <w:sz w:val="20"/>
        </w:rPr>
        <w:t>龍社路 597 號 區權人：_______________（簽章）</w:t>
      </w:r>
    </w:p>
    <w:p>
      <w:pPr>
        <w:spacing w:after="120" w:line="312" w:lineRule="auto"/>
      </w:pPr>
      <w:r>
        <w:rPr>
          <w:rFonts w:ascii="PingFang TC" w:hAnsi="PingFang TC"/>
          <w:color w:val="2D3748"/>
          <w:sz w:val="20"/>
        </w:rPr>
        <w:t>龍社路 599 號 區權人：_______________（簽章）</w:t>
      </w:r>
    </w:p>
    <w:p>
      <w:pPr>
        <w:spacing w:after="120" w:line="312" w:lineRule="auto"/>
      </w:pPr>
      <w:r>
        <w:rPr>
          <w:rFonts w:ascii="PingFang TC" w:hAnsi="PingFang TC"/>
          <w:color w:val="2D3748"/>
          <w:sz w:val="20"/>
        </w:rPr>
        <w:t>龍社路 601 號 區權人：_______________（簽章）</w:t>
      </w:r>
    </w:p>
    <w:p>
      <w:pPr>
        <w:spacing w:after="120" w:line="312" w:lineRule="auto"/>
      </w:pPr>
      <w:r>
        <w:rPr>
          <w:rFonts w:ascii="PingFang TC" w:hAnsi="PingFang TC"/>
          <w:color w:val="2D3748"/>
          <w:sz w:val="20"/>
        </w:rPr>
        <w:t>龍社路 603 號 區權人：_______________（簽章）</w:t>
      </w:r>
    </w:p>
    <w:p>
      <w:pPr>
        <w:spacing w:after="120" w:line="312" w:lineRule="auto"/>
      </w:pPr>
      <w:r>
        <w:rPr>
          <w:rFonts w:ascii="PingFang TC" w:hAnsi="PingFang TC"/>
          <w:color w:val="2D3748"/>
          <w:sz w:val="20"/>
        </w:rPr>
        <w:t>(備註：若該戶建物為夫妻或親友共有，共有權人全體均須逐一列名簽章)</w:t>
      </w:r>
    </w:p>
    <w:p>
      <w:pPr>
        <w:spacing w:after="120" w:line="312" w:lineRule="auto"/>
      </w:pPr>
      <w:r>
        <w:rPr>
          <w:rFonts w:ascii="PingFang TC" w:hAnsi="PingFang TC"/>
          <w:color w:val="2D3748"/>
          <w:sz w:val="20"/>
        </w:rPr>
        <w:t>受任人（代理人）：</w:t>
      </w:r>
    </w:p>
    <w:p>
      <w:pPr>
        <w:spacing w:after="120" w:line="312" w:lineRule="auto"/>
      </w:pPr>
      <w:r>
        <w:rPr>
          <w:rFonts w:ascii="PingFang TC" w:hAnsi="PingFang TC"/>
          <w:color w:val="2D3748"/>
          <w:sz w:val="20"/>
        </w:rPr>
        <w:t>姓名：廖倫豪（親筆簽名蓋章）</w:t>
      </w:r>
    </w:p>
    <w:p>
      <w:pPr>
        <w:spacing w:after="120" w:line="312" w:lineRule="auto"/>
      </w:pPr>
      <w:r>
        <w:rPr>
          <w:rFonts w:ascii="PingFang TC" w:hAnsi="PingFang TC"/>
          <w:color w:val="2D3748"/>
          <w:sz w:val="20"/>
        </w:rPr>
        <w:t>通訊地址：臺中市沙鹿區龍社路 595 號</w:t>
      </w:r>
    </w:p>
    <w:p>
      <w:pPr>
        <w:spacing w:after="120" w:line="312" w:lineRule="auto"/>
      </w:pPr>
      <w:r>
        <w:rPr>
          <w:rFonts w:ascii="PingFang TC" w:hAnsi="PingFang TC"/>
          <w:color w:val="2D3748"/>
          <w:sz w:val="20"/>
        </w:rPr>
        <w:t>中華民國 115 年【待查證】月【待查證】日</w:t>
      </w:r>
    </w:p>
    <w:p>
      <w:pPr>
        <w:spacing w:after="120" w:line="312" w:lineRule="auto"/>
      </w:pPr>
      <w:r>
        <w:rPr>
          <w:rFonts w:ascii="PingFang TC" w:hAnsi="PingFang TC"/>
          <w:color w:val="2D3748"/>
          <w:sz w:val="20"/>
        </w:rPr>
        <w:t>&lt;!-- PAGE BREAK --&gt;</w:t>
      </w:r>
    </w:p>
    <w:p>
      <w:pPr>
        <w:spacing w:after="120" w:line="312" w:lineRule="auto"/>
      </w:pPr>
      <w:r>
        <w:rPr>
          <w:rFonts w:ascii="PingFang TC" w:hAnsi="PingFang TC"/>
          <w:color w:val="2D3748"/>
          <w:sz w:val="20"/>
        </w:rPr>
        <w:t># 富宇大境（A2 區）六戶獨立管理專款共管協議書</w:t>
      </w:r>
    </w:p>
    <w:p>
      <w:pPr>
        <w:spacing w:after="120" w:line="312" w:lineRule="auto"/>
      </w:pPr>
      <w:r>
        <w:rPr>
          <w:rFonts w:ascii="PingFang TC" w:hAnsi="PingFang TC"/>
          <w:color w:val="2D3748"/>
          <w:sz w:val="20"/>
        </w:rPr>
        <w:t>立協議書人：臺中市沙鹿區龍社路 593 號、595 號、597 號、599 號、601 號、603 號全體區分所有權人。</w:t>
      </w:r>
    </w:p>
    <w:p>
      <w:pPr>
        <w:spacing w:after="120" w:line="312" w:lineRule="auto"/>
      </w:pPr>
      <w:r>
        <w:rPr>
          <w:rFonts w:ascii="PingFang TC" w:hAnsi="PingFang TC"/>
          <w:color w:val="2D3748"/>
          <w:sz w:val="20"/>
        </w:rPr>
        <w:t>緣起：</w:t>
      </w:r>
    </w:p>
    <w:p>
      <w:pPr>
        <w:spacing w:after="120" w:line="312" w:lineRule="auto"/>
      </w:pPr>
      <w:r>
        <w:rPr>
          <w:rFonts w:ascii="PingFang TC" w:hAnsi="PingFang TC"/>
          <w:color w:val="2D3748"/>
          <w:sz w:val="20"/>
        </w:rPr>
        <w:t>立約人 6 戶透天別墅緊鄰公有計畫道路龍社路，考量居住機能各自獨立，為落實《公寓大廈管理條例》第 53 條權責相符原則，於依合規程序自富宇大地社區完成管理範圍調整後，本區決議回歸一般透天自律生活，不另成立管理委員會。為妥善管理維護門前公用設施及本區自富宇大地社區結算返還之共有專案款項，特訂立本《共管協議書》：</w:t>
      </w:r>
    </w:p>
    <w:p>
      <w:pPr>
        <w:spacing w:before="200" w:after="80"/>
      </w:pPr>
      <w:r>
        <w:rPr>
          <w:rFonts w:ascii="PingFang TC" w:hAnsi="PingFang TC"/>
          <w:b/>
          <w:color w:val="D97706"/>
          <w:sz w:val="24"/>
        </w:rPr>
        <w:t>第一條（共管目的與治理模式）</w:t>
      </w:r>
    </w:p>
    <w:p>
      <w:pPr>
        <w:spacing w:after="120" w:line="312" w:lineRule="auto"/>
      </w:pPr>
      <w:r>
        <w:rPr>
          <w:rFonts w:ascii="PingFang TC" w:hAnsi="PingFang TC"/>
          <w:color w:val="2D3748"/>
          <w:sz w:val="20"/>
        </w:rPr>
        <w:t>本區 6 戶完成主管機關排除管理範圍報備後，不設立管理委員會、不設主任委員，免除選任委員、申報所得稅及常態記帳負擔。涉及 6 戶共同使用範圍之少數事務（如門前公用路燈、共同排水溝疏濬等），由全體立約人依本協議以民主合議方式共同管理。</w:t>
      </w:r>
    </w:p>
    <w:p>
      <w:pPr>
        <w:spacing w:before="200" w:after="80"/>
      </w:pPr>
      <w:r>
        <w:rPr>
          <w:rFonts w:ascii="PingFang TC" w:hAnsi="PingFang TC"/>
          <w:b/>
          <w:color w:val="D97706"/>
          <w:sz w:val="24"/>
        </w:rPr>
        <w:t>第二條（共管專戶之設立與雙人共同簽章制度）</w:t>
      </w:r>
    </w:p>
    <w:p>
      <w:pPr>
        <w:spacing w:after="120" w:line="312" w:lineRule="auto"/>
      </w:pPr>
      <w:r>
        <w:rPr>
          <w:rFonts w:ascii="PingFang TC" w:hAnsi="PingFang TC"/>
          <w:color w:val="2D3748"/>
          <w:sz w:val="20"/>
        </w:rPr>
        <w:t>1. 專戶開設：全體立約人合意推選 廖倫豪 先生（龍社路 595 號） 與 【待推選住戶】 先生/女士（龍社路【待填寫】號） 共兩名代表，於合法金融機構（新光銀行或臺灣銀行等）以雙人具名聯名帳戶方式設立「富宇大境 A2 專款共管專戶」。</w:t>
      </w:r>
    </w:p>
    <w:p>
      <w:pPr>
        <w:spacing w:after="120" w:line="312" w:lineRule="auto"/>
      </w:pPr>
      <w:r>
        <w:rPr>
          <w:rFonts w:ascii="PingFang TC" w:hAnsi="PingFang TC"/>
          <w:color w:val="2D3748"/>
          <w:sz w:val="20"/>
        </w:rPr>
        <w:t>2. 提支雙印鑑原則：共管專戶之留存印鑑必須為前開兩名推選代表人之私章。任何款項之取款、轉帳或提領，必須同時由兩名代表人共同親自蓋章，欠缺任一印鑑者，金融機構嚴禁受理。</w:t>
      </w:r>
    </w:p>
    <w:p>
      <w:pPr>
        <w:spacing w:after="120" w:line="312" w:lineRule="auto"/>
      </w:pPr>
      <w:r>
        <w:rPr>
          <w:rFonts w:ascii="PingFang TC" w:hAnsi="PingFang TC"/>
          <w:color w:val="2D3748"/>
          <w:sz w:val="20"/>
        </w:rPr>
        <w:t>3. 存摺由代表人甲保管，印鑑章由代表人乙保管，嚴禁一人兼管存摺與全數印章。</w:t>
      </w:r>
    </w:p>
    <w:p>
      <w:pPr>
        <w:spacing w:before="200" w:after="80"/>
      </w:pPr>
      <w:r>
        <w:rPr>
          <w:rFonts w:ascii="PingFang TC" w:hAnsi="PingFang TC"/>
          <w:b/>
          <w:color w:val="D97706"/>
          <w:sz w:val="24"/>
        </w:rPr>
        <w:t>第三條（專案款項注入與專款專用原則）</w:t>
      </w:r>
    </w:p>
    <w:p>
      <w:pPr>
        <w:spacing w:after="120" w:line="312" w:lineRule="auto"/>
      </w:pPr>
      <w:r>
        <w:rPr>
          <w:rFonts w:ascii="PingFang TC" w:hAnsi="PingFang TC"/>
          <w:color w:val="2D3748"/>
          <w:sz w:val="20"/>
        </w:rPr>
        <w:t>1. 自富宇大地社區管委會結算移交返還之本金 280,231 元（含 A2 定存單本金 220,231 元及孳息【待查證】、交屋管理基金 60,000 元，扣除應分攤款項後之淨額），應於收受當日全額存入共管專戶。</w:t>
      </w:r>
    </w:p>
    <w:p>
      <w:pPr>
        <w:spacing w:after="120" w:line="312" w:lineRule="auto"/>
      </w:pPr>
      <w:r>
        <w:rPr>
          <w:rFonts w:ascii="PingFang TC" w:hAnsi="PingFang TC"/>
          <w:color w:val="2D3748"/>
          <w:sz w:val="20"/>
        </w:rPr>
        <w:t>2. 專款專用範圍限制：嚴格限定僅得支應門前 6 戶公用路燈照明電費/修繕、門前公用水溝疏濬清潔消毒、帳戶規費等公共支出。</w:t>
      </w:r>
    </w:p>
    <w:p>
      <w:pPr>
        <w:spacing w:after="120" w:line="312" w:lineRule="auto"/>
      </w:pPr>
      <w:r>
        <w:rPr>
          <w:rFonts w:ascii="PingFang TC" w:hAnsi="PingFang TC"/>
          <w:color w:val="2D3748"/>
          <w:sz w:val="20"/>
        </w:rPr>
        <w:t>3. 禁止非公用分配：非經全體立約人一致書面決議，共管帳戶之本金與孳息嚴禁瓜分轉入任何個人私帳，亦不得挪用於個別住戶之私人支出。</w:t>
      </w:r>
    </w:p>
    <w:p>
      <w:pPr>
        <w:spacing w:before="200" w:after="80"/>
      </w:pPr>
      <w:r>
        <w:rPr>
          <w:rFonts w:ascii="PingFang TC" w:hAnsi="PingFang TC"/>
          <w:b/>
          <w:color w:val="D97706"/>
          <w:sz w:val="24"/>
        </w:rPr>
        <w:t>第四條（年度財務透明、免繳常態管理費與繼受人效力）</w:t>
      </w:r>
    </w:p>
    <w:p>
      <w:pPr>
        <w:spacing w:after="120" w:line="312" w:lineRule="auto"/>
      </w:pPr>
      <w:r>
        <w:rPr>
          <w:rFonts w:ascii="PingFang TC" w:hAnsi="PingFang TC"/>
          <w:color w:val="2D3748"/>
          <w:sz w:val="20"/>
        </w:rPr>
        <w:t>1. 每年 12 月 31 日前，兩名代表應編製年度收支明細表並檢附存摺與單據送達全體 6 戶立約人查核備查。</w:t>
      </w:r>
    </w:p>
    <w:p>
      <w:pPr>
        <w:spacing w:after="120" w:line="312" w:lineRule="auto"/>
      </w:pPr>
      <w:r>
        <w:rPr>
          <w:rFonts w:ascii="PingFang TC" w:hAnsi="PingFang TC"/>
          <w:color w:val="2D3748"/>
          <w:sz w:val="20"/>
        </w:rPr>
        <w:t>2. 本區平日各戶水電獨立繳費、垃圾門前等免費清潔隊，本區平日不向各戶收取常態性每月管理費，由專戶款項支應公用維護。</w:t>
      </w:r>
    </w:p>
    <w:p>
      <w:pPr>
        <w:spacing w:after="120" w:line="312" w:lineRule="auto"/>
      </w:pPr>
      <w:r>
        <w:rPr>
          <w:rFonts w:ascii="PingFang TC" w:hAnsi="PingFang TC"/>
          <w:color w:val="2D3748"/>
          <w:sz w:val="20"/>
        </w:rPr>
        <w:t>3. 立約人若有轉讓、贈與或繼承房產時，承諾將本協議列為買賣點交附件，由受讓人簽署遵守，拘束繼受人。</w:t>
      </w:r>
    </w:p>
    <w:p>
      <w:pPr>
        <w:spacing w:after="120" w:line="312" w:lineRule="auto"/>
      </w:pPr>
      <w:r>
        <w:rPr>
          <w:rFonts w:ascii="PingFang TC" w:hAnsi="PingFang TC"/>
          <w:color w:val="2D3748"/>
          <w:sz w:val="20"/>
        </w:rPr>
        <w:t>立協議書人全體簽章：</w:t>
      </w:r>
    </w:p>
    <w:p>
      <w:pPr>
        <w:spacing w:after="120" w:line="312" w:lineRule="auto"/>
      </w:pPr>
      <w:r>
        <w:rPr>
          <w:rFonts w:ascii="PingFang TC" w:hAnsi="PingFang TC"/>
          <w:color w:val="2D3748"/>
          <w:sz w:val="20"/>
        </w:rPr>
        <w:t>龍社路 593 號 區權人：_______________（簽章）</w:t>
      </w:r>
    </w:p>
    <w:p>
      <w:pPr>
        <w:spacing w:after="120" w:line="312" w:lineRule="auto"/>
      </w:pPr>
      <w:r>
        <w:rPr>
          <w:rFonts w:ascii="PingFang TC" w:hAnsi="PingFang TC"/>
          <w:color w:val="2D3748"/>
          <w:sz w:val="20"/>
        </w:rPr>
        <w:t>龍社路 595 號 區權人：_______________（簽章）</w:t>
      </w:r>
    </w:p>
    <w:p>
      <w:pPr>
        <w:spacing w:after="120" w:line="312" w:lineRule="auto"/>
      </w:pPr>
      <w:r>
        <w:rPr>
          <w:rFonts w:ascii="PingFang TC" w:hAnsi="PingFang TC"/>
          <w:color w:val="2D3748"/>
          <w:sz w:val="20"/>
        </w:rPr>
        <w:t>龍社路 597 號 區權人：_______________（簽章）</w:t>
      </w:r>
    </w:p>
    <w:p>
      <w:pPr>
        <w:spacing w:after="120" w:line="312" w:lineRule="auto"/>
      </w:pPr>
      <w:r>
        <w:rPr>
          <w:rFonts w:ascii="PingFang TC" w:hAnsi="PingFang TC"/>
          <w:color w:val="2D3748"/>
          <w:sz w:val="20"/>
        </w:rPr>
        <w:t>龍社路 599 號 區權人：_______________（簽章）</w:t>
      </w:r>
    </w:p>
    <w:p>
      <w:pPr>
        <w:spacing w:after="120" w:line="312" w:lineRule="auto"/>
      </w:pPr>
      <w:r>
        <w:rPr>
          <w:rFonts w:ascii="PingFang TC" w:hAnsi="PingFang TC"/>
          <w:color w:val="2D3748"/>
          <w:sz w:val="20"/>
        </w:rPr>
        <w:t>龍社路 601 號 區權人：_______________（簽章）</w:t>
      </w:r>
    </w:p>
    <w:p>
      <w:pPr>
        <w:spacing w:after="120" w:line="312" w:lineRule="auto"/>
      </w:pPr>
      <w:r>
        <w:rPr>
          <w:rFonts w:ascii="PingFang TC" w:hAnsi="PingFang TC"/>
          <w:color w:val="2D3748"/>
          <w:sz w:val="20"/>
        </w:rPr>
        <w:t>龍社路 603 號 區權人：_______________（簽章）</w:t>
      </w:r>
    </w:p>
    <w:p>
      <w:pPr>
        <w:spacing w:after="120" w:line="312" w:lineRule="auto"/>
      </w:pPr>
      <w:r>
        <w:rPr>
          <w:rFonts w:ascii="PingFang TC" w:hAnsi="PingFang TC"/>
          <w:color w:val="2D3748"/>
          <w:sz w:val="20"/>
        </w:rPr>
        <w:t>中華民國 115 年【待查證】月【待查證】日</w:t>
      </w:r>
    </w:p>
    <w:p>
      <w:pPr>
        <w:spacing w:after="120" w:line="312" w:lineRule="auto"/>
      </w:pPr>
      <w:r>
        <w:rPr>
          <w:rFonts w:ascii="PingFang TC" w:hAnsi="PingFang TC"/>
          <w:color w:val="2D3748"/>
          <w:sz w:val="20"/>
        </w:rPr>
        <w:t>&lt;!-- PAGE BREAK --&gt;</w:t>
      </w:r>
    </w:p>
    <w:p>
      <w:pPr>
        <w:spacing w:after="120" w:line="312" w:lineRule="auto"/>
      </w:pPr>
      <w:r>
        <w:rPr>
          <w:rFonts w:ascii="PingFang TC" w:hAnsi="PingFang TC"/>
          <w:color w:val="2D3748"/>
          <w:sz w:val="20"/>
        </w:rPr>
        <w:t># 富宇大境（A2 區）獨立分流資產結算事實說明與款項計算書</w:t>
      </w:r>
    </w:p>
    <w:p>
      <w:pPr>
        <w:spacing w:after="120" w:line="312" w:lineRule="auto"/>
      </w:pPr>
      <w:r>
        <w:rPr>
          <w:rFonts w:ascii="PingFang TC" w:hAnsi="PingFang TC"/>
          <w:color w:val="2D3748"/>
          <w:sz w:val="20"/>
        </w:rPr>
        <w:t>編製單位：富宇大境 A2 區全體 6 戶區分所有權人</w:t>
      </w:r>
    </w:p>
    <w:p>
      <w:pPr>
        <w:spacing w:after="120" w:line="312" w:lineRule="auto"/>
      </w:pPr>
      <w:r>
        <w:rPr>
          <w:rFonts w:ascii="PingFang TC" w:hAnsi="PingFang TC"/>
          <w:color w:val="2D3748"/>
          <w:sz w:val="20"/>
        </w:rPr>
        <w:t>編製日期：中華民國 115 年【待查證】月【待查證】日</w:t>
      </w:r>
    </w:p>
    <w:p>
      <w:pPr>
        <w:spacing w:before="240" w:after="120"/>
      </w:pPr>
      <w:r>
        <w:rPr>
          <w:rFonts w:ascii="PingFang TC" w:hAnsi="PingFang TC"/>
          <w:b/>
          <w:color w:val="DE5814"/>
          <w:sz w:val="26"/>
        </w:rPr>
        <w:t>一、專案資產基礎事實（客觀基準數：280,231 元）</w:t>
      </w:r>
    </w:p>
    <w:tbl>
      <w:tblPr>
        <w:tblW w:type="auto" w:w="0"/>
        <w:jc w:val="center"/>
        <w:tblLook w:firstColumn="1" w:firstRow="1" w:lastColumn="0" w:lastRow="0" w:noHBand="0" w:noVBand="1" w:val="04A0"/>
      </w:tblPr>
      <w:tblGrid>
        <w:gridCol w:w="3202"/>
        <w:gridCol w:w="3202"/>
        <w:gridCol w:w="3202"/>
      </w:tblGrid>
      <w:tr>
        <w:tc>
          <w:tcPr>
            <w:tcW w:type="dxa" w:w="3202"/>
            <w:shd w:fill="2D3748"/>
          </w:tcPr>
          <w:p>
            <w:r>
              <w:rPr>
                <w:b/>
                <w:color w:val="FFFFFF"/>
                <w:sz w:val="19"/>
              </w:rPr>
              <w:t>項目名稱</w:t>
            </w:r>
          </w:p>
        </w:tc>
        <w:tc>
          <w:tcPr>
            <w:tcW w:type="dxa" w:w="3202"/>
            <w:shd w:fill="2D3748"/>
          </w:tcPr>
          <w:p>
            <w:r>
              <w:rPr>
                <w:b/>
                <w:color w:val="FFFFFF"/>
                <w:sz w:val="19"/>
              </w:rPr>
              <w:t>核定本金</w:t>
            </w:r>
          </w:p>
        </w:tc>
        <w:tc>
          <w:tcPr>
            <w:tcW w:type="dxa" w:w="3202"/>
            <w:shd w:fill="2D3748"/>
          </w:tcPr>
          <w:p>
            <w:r>
              <w:rPr>
                <w:b/>
                <w:color w:val="FFFFFF"/>
                <w:sz w:val="19"/>
              </w:rPr>
              <w:t>法令定性與財務憑據</w:t>
            </w:r>
          </w:p>
        </w:tc>
      </w:tr>
      <w:tr>
        <w:tc>
          <w:tcPr>
            <w:tcW w:type="dxa" w:w="3202"/>
            <w:shd w:fill="F8FAFC"/>
          </w:tcPr>
          <w:p>
            <w:r>
              <w:rPr>
                <w:color w:val="2D3748"/>
                <w:sz w:val="18"/>
              </w:rPr>
              <w:t>新光銀行 A2 大境定存單（第 2 筆）</w:t>
            </w:r>
          </w:p>
        </w:tc>
        <w:tc>
          <w:tcPr>
            <w:tcW w:type="dxa" w:w="3202"/>
            <w:shd w:fill="F8FAFC"/>
          </w:tcPr>
          <w:p>
            <w:r>
              <w:rPr>
                <w:color w:val="2D3748"/>
                <w:sz w:val="18"/>
              </w:rPr>
              <w:t>NT$ 220,231 元</w:t>
            </w:r>
          </w:p>
        </w:tc>
        <w:tc>
          <w:tcPr>
            <w:tcW w:type="dxa" w:w="3202"/>
            <w:shd w:fill="F8FAFC"/>
          </w:tcPr>
          <w:p>
            <w:r>
              <w:rPr>
                <w:color w:val="2D3748"/>
                <w:sz w:val="18"/>
              </w:rPr>
              <w:t>富宇大地管委會 115 年 5 月例會決議及 9 月財報專單保管之市府核退公款，孳息【待查證】。</w:t>
            </w:r>
          </w:p>
        </w:tc>
      </w:tr>
      <w:tr>
        <w:tc>
          <w:tcPr>
            <w:tcW w:type="dxa" w:w="3202"/>
          </w:tcPr>
          <w:p>
            <w:r>
              <w:rPr>
                <w:color w:val="2D3748"/>
                <w:sz w:val="18"/>
              </w:rPr>
              <w:t>起造人富宇建設交屋管理基金</w:t>
            </w:r>
          </w:p>
        </w:tc>
        <w:tc>
          <w:tcPr>
            <w:tcW w:type="dxa" w:w="3202"/>
          </w:tcPr>
          <w:p>
            <w:r>
              <w:rPr>
                <w:color w:val="2D3748"/>
                <w:sz w:val="18"/>
              </w:rPr>
              <w:t>NT$ 60,000 元</w:t>
            </w:r>
          </w:p>
        </w:tc>
        <w:tc>
          <w:tcPr>
            <w:tcW w:type="dxa" w:w="3202"/>
          </w:tcPr>
          <w:p>
            <w:r>
              <w:rPr>
                <w:color w:val="2D3748"/>
                <w:sz w:val="18"/>
              </w:rPr>
              <w:t>原始交屋時起造人按戶提撥之準備金（每戶 10,000 元 × 6 戶 ＝ 60,000 元）。</w:t>
            </w:r>
          </w:p>
        </w:tc>
      </w:tr>
      <w:tr>
        <w:tc>
          <w:tcPr>
            <w:tcW w:type="dxa" w:w="3202"/>
            <w:shd w:fill="F8FAFC"/>
          </w:tcPr>
          <w:p>
            <w:r>
              <w:rPr>
                <w:color w:val="2D3748"/>
                <w:sz w:val="18"/>
              </w:rPr>
              <w:t>專案資產本金總額</w:t>
            </w:r>
          </w:p>
        </w:tc>
        <w:tc>
          <w:tcPr>
            <w:tcW w:type="dxa" w:w="3202"/>
            <w:shd w:fill="F8FAFC"/>
          </w:tcPr>
          <w:p>
            <w:r>
              <w:rPr>
                <w:color w:val="2D3748"/>
                <w:sz w:val="18"/>
              </w:rPr>
              <w:t>NT$ 280,231 元</w:t>
            </w:r>
          </w:p>
        </w:tc>
        <w:tc>
          <w:tcPr>
            <w:tcW w:type="dxa" w:w="3202"/>
            <w:shd w:fill="F8FAFC"/>
          </w:tcPr>
          <w:p>
            <w:r>
              <w:rPr>
                <w:color w:val="2D3748"/>
                <w:sz w:val="18"/>
              </w:rPr>
              <w:t>未計法定孳息。原始卷宗誤植之 284,731 元全數作廢。</w:t>
            </w:r>
          </w:p>
        </w:tc>
      </w:tr>
    </w:tbl>
    <w:p>
      <w:pPr>
        <w:spacing w:after="120"/>
      </w:pPr>
    </w:p>
    <w:p>
      <w:pPr>
        <w:spacing w:before="240" w:after="120"/>
      </w:pPr>
      <w:r>
        <w:rPr>
          <w:rFonts w:ascii="PingFang TC" w:hAnsi="PingFang TC"/>
          <w:b/>
          <w:color w:val="DE5814"/>
          <w:sz w:val="26"/>
        </w:rPr>
        <w:t>二、相對人（管委會）可能主張之扣抵抗辯與防禦策略</w:t>
      </w:r>
    </w:p>
    <w:p>
      <w:pPr>
        <w:spacing w:after="120" w:line="312" w:lineRule="auto"/>
      </w:pPr>
      <w:r>
        <w:rPr>
          <w:rFonts w:ascii="PingFang TC" w:hAnsi="PingFang TC"/>
          <w:color w:val="2D3748"/>
          <w:sz w:val="20"/>
        </w:rPr>
        <w:t>1. 抗辯一：個別住戶管理費欠繳抵銷</w:t>
      </w:r>
    </w:p>
    <w:p>
      <w:pPr>
        <w:spacing w:after="120" w:line="312" w:lineRule="auto"/>
      </w:pPr>
      <w:r>
        <w:rPr>
          <w:rFonts w:ascii="PingFang TC" w:hAnsi="PingFang TC"/>
          <w:color w:val="2D3748"/>
          <w:sz w:val="20"/>
        </w:rPr>
        <w:t>- 管委會主張：若 A2 有住戶欠繳管理費，應自返還基金中扣抵。</w:t>
      </w:r>
    </w:p>
    <w:p>
      <w:pPr>
        <w:spacing w:after="120" w:line="312" w:lineRule="auto"/>
      </w:pPr>
      <w:r>
        <w:rPr>
          <w:rFonts w:ascii="PingFang TC" w:hAnsi="PingFang TC"/>
          <w:color w:val="2D3748"/>
          <w:sz w:val="20"/>
        </w:rPr>
        <w:t>- 法律防禦：依《條例》第 21 條，催繳管理費係個別區權人之債權債務關係，管委會應循督促程序催繳，不得自全體共有之公用基金中作不當聯結扣抵。但為求和解，若有確定欠費戶，得協議由該戶分得之利益額度限額抵充。</w:t>
      </w:r>
    </w:p>
    <w:p>
      <w:pPr>
        <w:spacing w:after="120" w:line="312" w:lineRule="auto"/>
      </w:pPr>
      <w:r>
        <w:rPr>
          <w:rFonts w:ascii="PingFang TC" w:hAnsi="PingFang TC"/>
          <w:color w:val="2D3748"/>
          <w:sz w:val="20"/>
        </w:rPr>
        <w:t>2. 抗辯二：外包物業保全清潔合約過渡期分攤</w:t>
      </w:r>
    </w:p>
    <w:p>
      <w:pPr>
        <w:spacing w:after="120" w:line="312" w:lineRule="auto"/>
      </w:pPr>
      <w:r>
        <w:rPr>
          <w:rFonts w:ascii="PingFang TC" w:hAnsi="PingFang TC"/>
          <w:color w:val="2D3748"/>
          <w:sz w:val="20"/>
        </w:rPr>
        <w:t>- 管委會主張：大社區已簽訂全年度保全與清潔合約（以 241 戶編列），若 A2 退出，將產生合約未滿之空缺分攤損失（預估數萬元）。</w:t>
      </w:r>
    </w:p>
    <w:p>
      <w:pPr>
        <w:spacing w:after="120" w:line="312" w:lineRule="auto"/>
      </w:pPr>
      <w:r>
        <w:rPr>
          <w:rFonts w:ascii="PingFang TC" w:hAnsi="PingFang TC"/>
          <w:color w:val="2D3748"/>
          <w:sz w:val="20"/>
        </w:rPr>
        <w:t>- 法律防禦：A2 自始未要求保全越區巡邏且垃圾自理，大社區物業並未對 A2 提供實質勞務；合約亦得依戶數變動調整。然考量契約過渡期，A2 可同意負擔適度之「過渡行政分攤補貼」以促成和解。</w:t>
      </w:r>
    </w:p>
    <w:p>
      <w:pPr>
        <w:spacing w:after="120" w:line="312" w:lineRule="auto"/>
      </w:pPr>
      <w:r>
        <w:rPr>
          <w:rFonts w:ascii="PingFang TC" w:hAnsi="PingFang TC"/>
          <w:color w:val="2D3748"/>
          <w:sz w:val="20"/>
        </w:rPr>
        <w:t>3. 抗辯三：合併期間（115/5/14 至今）行政維護管理公攤費</w:t>
      </w:r>
    </w:p>
    <w:p>
      <w:pPr>
        <w:spacing w:after="120" w:line="312" w:lineRule="auto"/>
      </w:pPr>
      <w:r>
        <w:rPr>
          <w:rFonts w:ascii="PingFang TC" w:hAnsi="PingFang TC"/>
          <w:color w:val="2D3748"/>
          <w:sz w:val="20"/>
        </w:rPr>
        <w:t>- 管委會主張：自合併登記起至大會決議變更日止，A2 仍具會員身分，應分攤總體行政公攤成本。</w:t>
      </w:r>
    </w:p>
    <w:p>
      <w:pPr>
        <w:spacing w:after="120" w:line="312" w:lineRule="auto"/>
      </w:pPr>
      <w:r>
        <w:rPr>
          <w:rFonts w:ascii="PingFang TC" w:hAnsi="PingFang TC"/>
          <w:color w:val="2D3748"/>
          <w:sz w:val="20"/>
        </w:rPr>
        <w:t>- 法律防禦：A2 未享受任何內部公共水電，但形式上確實共享大社區行政報備資源。A2 同意核實按合理行政成本比例進行逐月扣抵結算。</w:t>
      </w:r>
    </w:p>
    <w:p>
      <w:pPr>
        <w:spacing w:before="240" w:after="120"/>
      </w:pPr>
      <w:r>
        <w:rPr>
          <w:rFonts w:ascii="PingFang TC" w:hAnsi="PingFang TC"/>
          <w:b/>
          <w:color w:val="DE5814"/>
          <w:sz w:val="26"/>
        </w:rPr>
        <w:t>三、談判底線與和解方案區間設計</w:t>
      </w:r>
    </w:p>
    <w:tbl>
      <w:tblPr>
        <w:tblW w:type="auto" w:w="0"/>
        <w:jc w:val="center"/>
        <w:tblLook w:firstColumn="1" w:firstRow="1" w:lastColumn="0" w:lastRow="0" w:noHBand="0" w:noVBand="1" w:val="04A0"/>
      </w:tblPr>
      <w:tblGrid>
        <w:gridCol w:w="3202"/>
        <w:gridCol w:w="3202"/>
        <w:gridCol w:w="3202"/>
      </w:tblGrid>
      <w:tr>
        <w:tc>
          <w:tcPr>
            <w:tcW w:type="dxa" w:w="3202"/>
            <w:shd w:fill="2D3748"/>
          </w:tcPr>
          <w:p>
            <w:r>
              <w:rPr>
                <w:b/>
                <w:color w:val="FFFFFF"/>
                <w:sz w:val="19"/>
              </w:rPr>
              <w:t>方案級別</w:t>
            </w:r>
          </w:p>
        </w:tc>
        <w:tc>
          <w:tcPr>
            <w:tcW w:type="dxa" w:w="3202"/>
            <w:shd w:fill="2D3748"/>
          </w:tcPr>
          <w:p>
            <w:r>
              <w:rPr>
                <w:b/>
                <w:color w:val="FFFFFF"/>
                <w:sz w:val="19"/>
              </w:rPr>
              <w:t>預估結算返還金額</w:t>
            </w:r>
          </w:p>
        </w:tc>
        <w:tc>
          <w:tcPr>
            <w:tcW w:type="dxa" w:w="3202"/>
            <w:shd w:fill="2D3748"/>
          </w:tcPr>
          <w:p>
            <w:r>
              <w:rPr>
                <w:b/>
                <w:color w:val="FFFFFF"/>
                <w:sz w:val="19"/>
              </w:rPr>
              <w:t>談判條件與戰略考量</w:t>
            </w:r>
          </w:p>
        </w:tc>
      </w:tr>
      <w:tr>
        <w:tc>
          <w:tcPr>
            <w:tcW w:type="dxa" w:w="3202"/>
            <w:shd w:fill="F8FAFC"/>
          </w:tcPr>
          <w:p>
            <w:r>
              <w:rPr>
                <w:color w:val="2D3748"/>
                <w:sz w:val="18"/>
              </w:rPr>
              <w:t>方案 A（最優方案）</w:t>
            </w:r>
          </w:p>
        </w:tc>
        <w:tc>
          <w:tcPr>
            <w:tcW w:type="dxa" w:w="3202"/>
            <w:shd w:fill="F8FAFC"/>
          </w:tcPr>
          <w:p>
            <w:r>
              <w:rPr>
                <w:color w:val="2D3748"/>
                <w:sz w:val="18"/>
              </w:rPr>
              <w:t>280,231 元 ＋ 孳息</w:t>
            </w:r>
          </w:p>
        </w:tc>
        <w:tc>
          <w:tcPr>
            <w:tcW w:type="dxa" w:w="3202"/>
            <w:shd w:fill="F8FAFC"/>
          </w:tcPr>
          <w:p>
            <w:r>
              <w:rPr>
                <w:color w:val="2D3748"/>
                <w:sz w:val="18"/>
              </w:rPr>
              <w:t>相對人全額移交定存本息與交屋基金；A2 立即切結門前水電自理，免除大社區未來修繕責任。</w:t>
            </w:r>
          </w:p>
        </w:tc>
      </w:tr>
      <w:tr>
        <w:tc>
          <w:tcPr>
            <w:tcW w:type="dxa" w:w="3202"/>
          </w:tcPr>
          <w:p>
            <w:r>
              <w:rPr>
                <w:color w:val="2D3748"/>
                <w:sz w:val="18"/>
              </w:rPr>
              <w:t>方案 B（合理和解）</w:t>
            </w:r>
          </w:p>
        </w:tc>
        <w:tc>
          <w:tcPr>
            <w:tcW w:type="dxa" w:w="3202"/>
          </w:tcPr>
          <w:p>
            <w:r>
              <w:rPr>
                <w:color w:val="2D3748"/>
                <w:sz w:val="18"/>
              </w:rPr>
              <w:t>約 250,000 ～ 260,000 元</w:t>
            </w:r>
          </w:p>
        </w:tc>
        <w:tc>
          <w:tcPr>
            <w:tcW w:type="dxa" w:w="3202"/>
          </w:tcPr>
          <w:p>
            <w:r>
              <w:rPr>
                <w:color w:val="2D3748"/>
                <w:sz w:val="18"/>
              </w:rPr>
              <w:t>A2 自願提撥交屋款中之 20,000～30,000 元作為合約過渡補貼款，兼顧大社區面子，調處委員最易促成和解。</w:t>
            </w:r>
          </w:p>
        </w:tc>
      </w:tr>
      <w:tr>
        <w:tc>
          <w:tcPr>
            <w:tcW w:type="dxa" w:w="3202"/>
            <w:shd w:fill="F8FAFC"/>
          </w:tcPr>
          <w:p>
            <w:r>
              <w:rPr>
                <w:color w:val="2D3748"/>
                <w:sz w:val="18"/>
              </w:rPr>
              <w:t>方案 C（底線方案）</w:t>
            </w:r>
          </w:p>
        </w:tc>
        <w:tc>
          <w:tcPr>
            <w:tcW w:type="dxa" w:w="3202"/>
            <w:shd w:fill="F8FAFC"/>
          </w:tcPr>
          <w:p>
            <w:r>
              <w:rPr>
                <w:color w:val="2D3748"/>
                <w:sz w:val="18"/>
              </w:rPr>
              <w:t>220,231 元（保全定存單）</w:t>
            </w:r>
          </w:p>
        </w:tc>
        <w:tc>
          <w:tcPr>
            <w:tcW w:type="dxa" w:w="3202"/>
            <w:shd w:fill="F8FAFC"/>
          </w:tcPr>
          <w:p>
            <w:r>
              <w:rPr>
                <w:color w:val="2D3748"/>
                <w:sz w:val="18"/>
              </w:rPr>
              <w:t>交屋款 60,000 元同意作為結清歷史管理費與物業合約之對價，換取管委會完全配合將規約修正案排入大會。</w:t>
            </w:r>
          </w:p>
        </w:tc>
      </w:tr>
    </w:tbl>
    <w:p>
      <w:pPr>
        <w:spacing w:after="120"/>
      </w:pPr>
    </w:p>
    <w:p>
      <w:pPr>
        <w:spacing w:after="120" w:line="312" w:lineRule="auto"/>
      </w:pPr>
      <w:r>
        <w:rPr>
          <w:rFonts w:ascii="PingFang TC" w:hAnsi="PingFang TC"/>
          <w:color w:val="2D3748"/>
          <w:sz w:val="20"/>
        </w:rPr>
        <w:t>&lt;!-- PAGE BREAK --&gt;</w:t>
      </w:r>
    </w:p>
    <w:p>
      <w:pPr>
        <w:spacing w:after="120" w:line="312" w:lineRule="auto"/>
      </w:pPr>
      <w:r>
        <w:rPr>
          <w:rFonts w:ascii="PingFang TC" w:hAnsi="PingFang TC"/>
          <w:color w:val="2D3748"/>
          <w:sz w:val="20"/>
        </w:rPr>
        <w:t># 富宇大地社區區分所有權人會議議案提案表（規約變更案）</w:t>
      </w:r>
    </w:p>
    <w:p>
      <w:pPr>
        <w:spacing w:after="120" w:line="312" w:lineRule="auto"/>
      </w:pPr>
      <w:r>
        <w:rPr>
          <w:rFonts w:ascii="PingFang TC" w:hAnsi="PingFang TC"/>
          <w:color w:val="2D3748"/>
          <w:sz w:val="20"/>
        </w:rPr>
        <w:t>案由：</w:t>
      </w:r>
    </w:p>
    <w:p>
      <w:pPr>
        <w:spacing w:after="120" w:line="312" w:lineRule="auto"/>
      </w:pPr>
      <w:r>
        <w:rPr>
          <w:rFonts w:ascii="PingFang TC" w:hAnsi="PingFang TC"/>
          <w:color w:val="2D3748"/>
          <w:sz w:val="20"/>
        </w:rPr>
        <w:t>審議「富宇大地社區規約第二條管理範圍修正案（排除沙鹿區龍社路 593 至 603 號共 6 戶，管理規模由 241 戶調整為 235 戶）」暨專案資產結算移交事宜。</w:t>
      </w:r>
    </w:p>
    <w:p>
      <w:pPr>
        <w:spacing w:after="120" w:line="312" w:lineRule="auto"/>
      </w:pPr>
      <w:r>
        <w:rPr>
          <w:rFonts w:ascii="PingFang TC" w:hAnsi="PingFang TC"/>
          <w:color w:val="2D3748"/>
          <w:sz w:val="20"/>
        </w:rPr>
        <w:t>說明：</w:t>
      </w:r>
    </w:p>
    <w:p>
      <w:pPr>
        <w:spacing w:after="120" w:line="312" w:lineRule="auto"/>
      </w:pPr>
      <w:r>
        <w:rPr>
          <w:rFonts w:ascii="PingFang TC" w:hAnsi="PingFang TC"/>
          <w:color w:val="2D3748"/>
          <w:sz w:val="20"/>
        </w:rPr>
        <w:t>一、法令依據與現況體檢：</w:t>
      </w:r>
    </w:p>
    <w:p>
      <w:pPr>
        <w:spacing w:after="120" w:line="312" w:lineRule="auto"/>
      </w:pPr>
      <w:r>
        <w:rPr>
          <w:rFonts w:ascii="PingFang TC" w:hAnsi="PingFang TC"/>
          <w:color w:val="2D3748"/>
          <w:sz w:val="20"/>
        </w:rPr>
        <w:t>按《公寓大廈管理條例》第 53 條規定，數建築物集居地區其管理準用本條例之核心前提，在於「共同設施之使用與管理具有整體不可分性」。查坐落於沙鹿區龍社路 593 至 603 號之透天別墅 6 戶（A2 區），位處基地最外緣，直接面臨公有計畫道路龍社路，出入交通直接銜接市區幹道，未使用內部 642 巷等內部封閉巷道；水電管線與生活排污皆獨立直通市府幹管；日常生活垃圾更於門前等候環保局清潔隊清運，物理設施與生活機能自始具備百分之百獨立性，確實欠缺整體不可分性。</w:t>
      </w:r>
    </w:p>
    <w:p>
      <w:pPr>
        <w:spacing w:after="120" w:line="312" w:lineRule="auto"/>
      </w:pPr>
      <w:r>
        <w:rPr>
          <w:rFonts w:ascii="PingFang TC" w:hAnsi="PingFang TC"/>
          <w:color w:val="2D3748"/>
          <w:sz w:val="20"/>
        </w:rPr>
        <w:t>二、規約條文對照修正表：</w:t>
      </w:r>
    </w:p>
    <w:tbl>
      <w:tblPr>
        <w:tblW w:type="auto" w:w="0"/>
        <w:jc w:val="center"/>
        <w:tblLook w:firstColumn="1" w:firstRow="1" w:lastColumn="0" w:lastRow="0" w:noHBand="0" w:noVBand="1" w:val="04A0"/>
      </w:tblPr>
      <w:tblGrid>
        <w:gridCol w:w="4802"/>
        <w:gridCol w:w="4802"/>
      </w:tblGrid>
      <w:tr>
        <w:tc>
          <w:tcPr>
            <w:tcW w:type="dxa" w:w="4802"/>
            <w:shd w:fill="2D3748"/>
          </w:tcPr>
          <w:p>
            <w:r>
              <w:rPr>
                <w:b/>
                <w:color w:val="FFFFFF"/>
                <w:sz w:val="19"/>
              </w:rPr>
              <w:t>現行富宇大地規約條文</w:t>
            </w:r>
          </w:p>
        </w:tc>
        <w:tc>
          <w:tcPr>
            <w:tcW w:type="dxa" w:w="4802"/>
            <w:shd w:fill="2D3748"/>
          </w:tcPr>
          <w:p>
            <w:r>
              <w:rPr>
                <w:b/>
                <w:color w:val="FFFFFF"/>
                <w:sz w:val="19"/>
              </w:rPr>
              <w:t>修正後富宇大地規約條文草案</w:t>
            </w:r>
          </w:p>
        </w:tc>
      </w:tr>
      <w:tr>
        <w:tc>
          <w:tcPr>
            <w:tcW w:type="dxa" w:w="4802"/>
            <w:shd w:fill="F8FAFC"/>
          </w:tcPr>
          <w:p>
            <w:r>
              <w:rPr>
                <w:color w:val="2D3748"/>
                <w:sz w:val="18"/>
              </w:rPr>
              <w:t>第二條（本公寓大廈之法定範圍）</w:t>
              <w:br/>
              <w:t>本公寓大廈管理之範圍包括基地、建築物共用部分、約定共用部分及附屬公共設施。</w:t>
              <w:br/>
              <w:t>本社區共計 241 戶，涵蓋大境、上境、悠境、澄境等各棟別區分所有權範圍（詳如建物配置清冊及報備清冊）。</w:t>
            </w:r>
          </w:p>
        </w:tc>
        <w:tc>
          <w:tcPr>
            <w:tcW w:type="dxa" w:w="4802"/>
            <w:shd w:fill="F8FAFC"/>
          </w:tcPr>
          <w:p>
            <w:r>
              <w:rPr>
                <w:color w:val="2D3748"/>
                <w:sz w:val="18"/>
              </w:rPr>
              <w:t>第二條（本公寓大廈之法定範圍）</w:t>
              <w:br/>
              <w:t>本公寓大廈管理之範圍包括基地、建築物共用部分、約定共用部分及附屬公共設施。</w:t>
              <w:br/>
              <w:t>本社區共計 235 戶，涵蓋上境、悠境、澄境等棟別區分所有權範圍。</w:t>
              <w:br/>
              <w:t>坐落於臺中市沙鹿區龍社路 593、595、597、599、601、603 號共 6 戶透天別墅（原稱 A2 區），因共同設施與出入交通均具實質獨立性，自中華民國 115 年【待查】月【待查】日起正式排除於本規約管理範圍之外，其門前設施由各該住戶自律維護管理，不適用本規約之權利義務。</w:t>
            </w:r>
          </w:p>
        </w:tc>
      </w:tr>
    </w:tbl>
    <w:p>
      <w:pPr>
        <w:spacing w:after="120"/>
      </w:pPr>
    </w:p>
    <w:p>
      <w:pPr>
        <w:spacing w:after="120" w:line="312" w:lineRule="auto"/>
      </w:pPr>
      <w:r>
        <w:rPr>
          <w:rFonts w:ascii="PingFang TC" w:hAnsi="PingFang TC"/>
          <w:color w:val="2D3748"/>
          <w:sz w:val="20"/>
        </w:rPr>
        <w:t>三、大會決議門檻法令說明（特別決議與重新召集程序）：</w:t>
      </w:r>
    </w:p>
    <w:p>
      <w:pPr>
        <w:spacing w:after="120" w:line="312" w:lineRule="auto"/>
      </w:pPr>
      <w:r>
        <w:rPr>
          <w:rFonts w:ascii="PingFang TC" w:hAnsi="PingFang TC"/>
          <w:color w:val="2D3748"/>
          <w:sz w:val="20"/>
        </w:rPr>
        <w:t>- 首次大會特別決議（第 31 條）：應有區權人 2/3 以上出席（至少 161 戶），以出席人數 3/4 以上同意（若 161 戶出席則需 121 戶同意）行之。</w:t>
      </w:r>
    </w:p>
    <w:p>
      <w:pPr>
        <w:spacing w:after="120" w:line="312" w:lineRule="auto"/>
      </w:pPr>
      <w:r>
        <w:rPr>
          <w:rFonts w:ascii="PingFang TC" w:hAnsi="PingFang TC"/>
          <w:color w:val="2D3748"/>
          <w:sz w:val="20"/>
        </w:rPr>
        <w:t>- 重新召集假決議（第 32 條第 1 項）：未獲決議重新召集時，應有區權人 1/5 以上出席（僅需 49 戶），出席過半數同意（如 25 戶同意）即可作成假決議。</w:t>
      </w:r>
    </w:p>
    <w:p>
      <w:pPr>
        <w:spacing w:after="120" w:line="312" w:lineRule="auto"/>
      </w:pPr>
      <w:r>
        <w:rPr>
          <w:rFonts w:ascii="PingFang TC" w:hAnsi="PingFang TC"/>
          <w:color w:val="2D3748"/>
          <w:sz w:val="20"/>
        </w:rPr>
        <w:t>- 書面反對審查（第 32 條第 2 項）：決議紀錄送達各區權人後，7 日內書面反對未達全體半數（未達 121 戶反對）時，該決議即正式視為獲致決議生效！</w:t>
      </w:r>
    </w:p>
    <w:p>
      <w:pPr>
        <w:spacing w:after="120" w:line="312" w:lineRule="auto"/>
      </w:pPr>
      <w:r>
        <w:rPr>
          <w:rFonts w:ascii="PingFang TC" w:hAnsi="PingFang TC"/>
          <w:color w:val="2D3748"/>
          <w:sz w:val="20"/>
        </w:rPr>
        <w:t>辦法：</w:t>
      </w:r>
    </w:p>
    <w:p>
      <w:pPr>
        <w:spacing w:after="120" w:line="312" w:lineRule="auto"/>
      </w:pPr>
      <w:r>
        <w:rPr>
          <w:rFonts w:ascii="PingFang TC" w:hAnsi="PingFang TC"/>
          <w:color w:val="2D3748"/>
          <w:sz w:val="20"/>
        </w:rPr>
        <w:t>大會通過後，授權管委會檢具會議紀錄與新版規約向主管機關區公所申辦變更報備，並將結算後之專案定存本息移交至 A2 雙人簽章共管專戶。</w:t>
      </w:r>
    </w:p>
    <w:p>
      <w:pPr>
        <w:spacing w:after="120" w:line="312" w:lineRule="auto"/>
      </w:pPr>
      <w:r>
        <w:rPr>
          <w:rFonts w:ascii="PingFang TC" w:hAnsi="PingFang TC"/>
          <w:color w:val="2D3748"/>
          <w:sz w:val="20"/>
        </w:rPr>
        <w:t>&lt;!-- PAGE BREAK --&gt;</w:t>
      </w:r>
    </w:p>
    <w:p>
      <w:pPr>
        <w:spacing w:after="120" w:line="312" w:lineRule="auto"/>
      </w:pPr>
      <w:r>
        <w:rPr>
          <w:rFonts w:ascii="PingFang TC" w:hAnsi="PingFang TC"/>
          <w:color w:val="2D3748"/>
          <w:sz w:val="20"/>
        </w:rPr>
        <w:t># 富宇大境（A2 區）管理範圍權責優化方案公開說明（理性中性版）</w:t>
      </w:r>
    </w:p>
    <w:p>
      <w:pPr>
        <w:spacing w:after="120" w:line="312" w:lineRule="auto"/>
      </w:pPr>
      <w:r>
        <w:rPr>
          <w:rFonts w:ascii="PingFang TC" w:hAnsi="PingFang TC"/>
          <w:color w:val="2D3748"/>
          <w:sz w:val="20"/>
        </w:rPr>
        <w:t>親愛的富宇大地社區鄰里先進：</w:t>
      </w:r>
    </w:p>
    <w:p>
      <w:pPr>
        <w:spacing w:after="120" w:line="312" w:lineRule="auto"/>
      </w:pPr>
      <w:r>
        <w:rPr>
          <w:rFonts w:ascii="PingFang TC" w:hAnsi="PingFang TC"/>
          <w:color w:val="2D3748"/>
          <w:sz w:val="20"/>
        </w:rPr>
        <w:t>我們是坐落於龍社路 593 至 603 號（A2 區）的 6 戶透天住戶。富宇大地於民國 115 年 5 月完成多區合併報備以來，管委會為照顧跨區廣大住戶付出了莫大心力。</w:t>
      </w:r>
    </w:p>
    <w:p>
      <w:pPr>
        <w:spacing w:after="120" w:line="312" w:lineRule="auto"/>
      </w:pPr>
      <w:r>
        <w:rPr>
          <w:rFonts w:ascii="PingFang TC" w:hAnsi="PingFang TC"/>
          <w:color w:val="2D3748"/>
          <w:sz w:val="20"/>
        </w:rPr>
        <w:t>考量本區 6 戶位處整體基地最外緣，直接面臨公有計畫道路龍社路，出入交通直接銜接市區幹道，未使用內部封閉巷道；水電管線與排污皆各自獨立；日常生活垃圾亦長年在門前等候市府公有清潔隊清運，並未享有內部收費子母車與封閉公設資源。為了讓社區資源配置更加合理、降低管委會外側巡查之民事責任，我們本於《公寓大廈管理條例》第 53 條的精神，誠意向管委會提出「管理範圍調整」之溝通提案：</w:t>
      </w:r>
    </w:p>
    <w:p>
      <w:pPr>
        <w:spacing w:before="200" w:after="80"/>
      </w:pPr>
      <w:r>
        <w:rPr>
          <w:rFonts w:ascii="PingFang TC" w:hAnsi="PingFang TC"/>
          <w:b/>
          <w:color w:val="D97706"/>
          <w:sz w:val="24"/>
        </w:rPr>
        <w:t>💡 本方案為全體 235 戶鄰居帶來的實質效益</w:t>
      </w:r>
    </w:p>
    <w:p>
      <w:pPr>
        <w:spacing w:after="120" w:line="312" w:lineRule="auto"/>
      </w:pPr>
      <w:r>
        <w:rPr>
          <w:rFonts w:ascii="PingFang TC" w:hAnsi="PingFang TC"/>
          <w:color w:val="2D3748"/>
          <w:sz w:val="20"/>
        </w:rPr>
        <w:t>1. 物業管理責任聚焦：免除管委會保全跨越公有道路龍社路巡查外側透天的負擔，管理動線徹底收斂於封閉社區內部。</w:t>
      </w:r>
    </w:p>
    <w:p>
      <w:pPr>
        <w:spacing w:after="120" w:line="312" w:lineRule="auto"/>
      </w:pPr>
      <w:r>
        <w:rPr>
          <w:rFonts w:ascii="PingFang TC" w:hAnsi="PingFang TC"/>
          <w:color w:val="2D3748"/>
          <w:sz w:val="20"/>
        </w:rPr>
        <w:t>2. 公設資源完整回饋：A2 住戶簽署正式切結書，永久放棄使用內部垃圾子母車，內部子母車容量 100% 完整保留供內部 235 戶使用。</w:t>
      </w:r>
    </w:p>
    <w:p>
      <w:pPr>
        <w:spacing w:after="120" w:line="312" w:lineRule="auto"/>
      </w:pPr>
      <w:r>
        <w:rPr>
          <w:rFonts w:ascii="PingFang TC" w:hAnsi="PingFang TC"/>
          <w:color w:val="2D3748"/>
          <w:sz w:val="20"/>
        </w:rPr>
        <w:t>3. 大社區基金零衝擊：A2 專款原本即由管委會於新光銀行單獨開立專單定存保管，移交純屬專款專案結算，大社區既有數百萬營運老本毫髮無傷。</w:t>
      </w:r>
    </w:p>
    <w:p>
      <w:pPr>
        <w:spacing w:before="200" w:after="80"/>
      </w:pPr>
      <w:r>
        <w:rPr>
          <w:rFonts w:ascii="PingFang TC" w:hAnsi="PingFang TC"/>
          <w:b/>
          <w:color w:val="D97706"/>
          <w:sz w:val="24"/>
        </w:rPr>
        <w:t>📋 依法推動之正規法律程序</w:t>
      </w:r>
    </w:p>
    <w:p>
      <w:pPr>
        <w:spacing w:after="120" w:line="312" w:lineRule="auto"/>
      </w:pPr>
      <w:r>
        <w:rPr>
          <w:rFonts w:ascii="PingFang TC" w:hAnsi="PingFang TC"/>
          <w:color w:val="2D3748"/>
          <w:sz w:val="20"/>
        </w:rPr>
        <w:t>本案絕非住戶單方片面主張，我們完全遵循法令制度推動：</w:t>
      </w:r>
    </w:p>
    <w:p>
      <w:pPr>
        <w:spacing w:after="120" w:line="312" w:lineRule="auto"/>
      </w:pPr>
      <w:r>
        <w:rPr>
          <w:rFonts w:ascii="PingFang TC" w:hAnsi="PingFang TC"/>
          <w:color w:val="2D3748"/>
          <w:sz w:val="20"/>
        </w:rPr>
        <w:t>【住戶共識連署】 ➔ 【向市府調處委員會申請協商】 ➔ 【協助排入區分所有權人會議特別決議】 ➔ 【主管機關完成變更報備】 ➔ 【專款專戶移交】</w:t>
      </w:r>
    </w:p>
    <w:p>
      <w:pPr>
        <w:spacing w:after="120" w:line="312" w:lineRule="auto"/>
      </w:pPr>
      <w:r>
        <w:rPr>
          <w:rFonts w:ascii="PingFang TC" w:hAnsi="PingFang TC"/>
          <w:color w:val="2D3748"/>
          <w:sz w:val="20"/>
        </w:rPr>
        <w:t>本區於完成變更後，將回歸一般獨立透天之自律生活，不另成立管委會，相關款項將存入 6 戶共同設立之專款共管專戶，專門用於門前公共路燈照明等必要維護。我們期待在充分溝通、理性依法、互利雙贏的基礎上，與管委會及全體鄰居共同促成社區管理體質的良性優化！</w:t>
      </w:r>
    </w:p>
    <w:p>
      <w:pPr>
        <w:spacing w:after="120" w:line="312" w:lineRule="auto"/>
      </w:pPr>
      <w:r>
        <w:rPr>
          <w:rFonts w:ascii="PingFang TC" w:hAnsi="PingFang TC"/>
          <w:color w:val="2D3748"/>
          <w:sz w:val="20"/>
        </w:rPr>
        <w:t>&lt;!-- PAGE BREAK --&gt;</w:t>
      </w:r>
    </w:p>
    <w:p>
      <w:pPr>
        <w:spacing w:after="120" w:line="312" w:lineRule="auto"/>
      </w:pPr>
      <w:r>
        <w:rPr>
          <w:rFonts w:ascii="PingFang TC" w:hAnsi="PingFang TC"/>
          <w:color w:val="2D3748"/>
          <w:sz w:val="20"/>
        </w:rPr>
        <w:t># 富宇大境（A2 區）調處程序風險評估、產權持分查核與備案路徑</w:t>
      </w:r>
    </w:p>
    <w:p>
      <w:pPr>
        <w:spacing w:before="200" w:after="80"/>
      </w:pPr>
      <w:r>
        <w:rPr>
          <w:rFonts w:ascii="PingFang TC" w:hAnsi="PingFang TC"/>
          <w:b/>
          <w:color w:val="D97706"/>
          <w:sz w:val="24"/>
        </w:rPr>
        <w:t>一、產權持分關鍵查核：基地公同共有持分對第 53 條主張之深遠影響</w:t>
      </w:r>
    </w:p>
    <w:p>
      <w:pPr>
        <w:spacing w:after="120" w:line="312" w:lineRule="auto"/>
      </w:pPr>
      <w:r>
        <w:rPr>
          <w:rFonts w:ascii="PingFang TC" w:hAnsi="PingFang TC"/>
          <w:color w:val="2D3748"/>
          <w:sz w:val="20"/>
        </w:rPr>
        <w:t>送件前必須立即調閱 A2 區 6 戶建物與土地第一類登記謄本，確認 6 戶是否持有社區內部私設道路（如 642 巷）或法定空地之持分：</w:t>
      </w:r>
    </w:p>
    <w:p>
      <w:pPr>
        <w:spacing w:after="120" w:line="312" w:lineRule="auto"/>
      </w:pPr>
      <w:r>
        <w:rPr>
          <w:rFonts w:ascii="PingFang TC" w:hAnsi="PingFang TC"/>
          <w:color w:val="2D3748"/>
          <w:sz w:val="20"/>
        </w:rPr>
        <w:t>1. 若 A2「無」內部私設道路與空地持分：物權上純屬相鄰土地關係，第 53 條「設施無整體不可分性」之論述無懈可擊，調處委員極易採信。</w:t>
      </w:r>
    </w:p>
    <w:p>
      <w:pPr>
        <w:spacing w:after="120" w:line="312" w:lineRule="auto"/>
      </w:pPr>
      <w:r>
        <w:rPr>
          <w:rFonts w:ascii="PingFang TC" w:hAnsi="PingFang TC"/>
          <w:color w:val="2D3748"/>
          <w:sz w:val="20"/>
        </w:rPr>
        <w:t>2. 若 A2「仍持有」內部共有道路持分：管委會必主張產權共有即具不可分性。防禦策略：向調處會說明「物權共有」與「管理範圍」為二事，A2 願切結放棄實質使用權以排除管理依賴，產權處分不影響內部通行，藉此化解物權爭議。</w:t>
      </w:r>
    </w:p>
    <w:p>
      <w:pPr>
        <w:spacing w:before="200" w:after="80"/>
      </w:pPr>
      <w:r>
        <w:rPr>
          <w:rFonts w:ascii="PingFang TC" w:hAnsi="PingFang TC"/>
          <w:b/>
          <w:color w:val="D97706"/>
          <w:sz w:val="24"/>
        </w:rPr>
        <w:t>二、調處程序之雙重結果與三軌備案路徑評估</w:t>
      </w:r>
    </w:p>
    <w:tbl>
      <w:tblPr>
        <w:tblW w:type="auto" w:w="0"/>
        <w:jc w:val="center"/>
        <w:tblLook w:firstColumn="1" w:firstRow="1" w:lastColumn="0" w:lastRow="0" w:noHBand="0" w:noVBand="1" w:val="04A0"/>
      </w:tblPr>
      <w:tblGrid>
        <w:gridCol w:w="2401"/>
        <w:gridCol w:w="2401"/>
        <w:gridCol w:w="2401"/>
        <w:gridCol w:w="2401"/>
      </w:tblGrid>
      <w:tr>
        <w:tc>
          <w:tcPr>
            <w:tcW w:type="dxa" w:w="2401"/>
            <w:shd w:fill="2D3748"/>
          </w:tcPr>
          <w:p>
            <w:r>
              <w:rPr>
                <w:b/>
                <w:color w:val="FFFFFF"/>
                <w:sz w:val="19"/>
              </w:rPr>
              <w:t>路徑順位</w:t>
            </w:r>
          </w:p>
        </w:tc>
        <w:tc>
          <w:tcPr>
            <w:tcW w:type="dxa" w:w="2401"/>
            <w:shd w:fill="2D3748"/>
          </w:tcPr>
          <w:p>
            <w:r>
              <w:rPr>
                <w:b/>
                <w:color w:val="FFFFFF"/>
                <w:sz w:val="19"/>
              </w:rPr>
              <w:t>推動路徑與實施方式</w:t>
            </w:r>
          </w:p>
        </w:tc>
        <w:tc>
          <w:tcPr>
            <w:tcW w:type="dxa" w:w="2401"/>
            <w:shd w:fill="2D3748"/>
          </w:tcPr>
          <w:p>
            <w:r>
              <w:rPr>
                <w:b/>
                <w:color w:val="FFFFFF"/>
                <w:sz w:val="19"/>
              </w:rPr>
              <w:t>法定要件與門檻</w:t>
            </w:r>
          </w:p>
        </w:tc>
        <w:tc>
          <w:tcPr>
            <w:tcW w:type="dxa" w:w="2401"/>
            <w:shd w:fill="2D3748"/>
          </w:tcPr>
          <w:p>
            <w:r>
              <w:rPr>
                <w:b/>
                <w:color w:val="FFFFFF"/>
                <w:sz w:val="19"/>
              </w:rPr>
              <w:t>勝算與風險評估</w:t>
            </w:r>
          </w:p>
        </w:tc>
      </w:tr>
      <w:tr>
        <w:tc>
          <w:tcPr>
            <w:tcW w:type="dxa" w:w="2401"/>
            <w:shd w:fill="F8FAFC"/>
          </w:tcPr>
          <w:p>
            <w:r>
              <w:rPr>
                <w:color w:val="2D3748"/>
                <w:sz w:val="18"/>
              </w:rPr>
              <w:t>第一軌（最優途徑）</w:t>
            </w:r>
          </w:p>
        </w:tc>
        <w:tc>
          <w:tcPr>
            <w:tcW w:type="dxa" w:w="2401"/>
            <w:shd w:fill="F8FAFC"/>
          </w:tcPr>
          <w:p>
            <w:r>
              <w:rPr>
                <w:color w:val="2D3748"/>
                <w:sz w:val="18"/>
              </w:rPr>
              <w:t>調處成立 ➔ 區權會審議</w:t>
              <w:br/>
              <w:t>管委會於調處會同意提案，排入大會議程依 §31 審議；流會則轉入 §32 重新召集。</w:t>
            </w:r>
          </w:p>
        </w:tc>
        <w:tc>
          <w:tcPr>
            <w:tcW w:type="dxa" w:w="2401"/>
            <w:shd w:fill="F8FAFC"/>
          </w:tcPr>
          <w:p>
            <w:r>
              <w:rPr>
                <w:color w:val="2D3748"/>
                <w:sz w:val="18"/>
              </w:rPr>
              <w:t>§31 需 161 戶出席；</w:t>
              <w:br/>
              <w:t>§32 僅需 49 戶出席。</w:t>
            </w:r>
          </w:p>
        </w:tc>
        <w:tc>
          <w:tcPr>
            <w:tcW w:type="dxa" w:w="2401"/>
            <w:shd w:fill="F8FAFC"/>
          </w:tcPr>
          <w:p>
            <w:r>
              <w:rPr>
                <w:color w:val="2D3748"/>
                <w:sz w:val="18"/>
              </w:rPr>
              <w:t>勝算最高 (80%)</w:t>
              <w:br/>
              <w:t>兼顧合法合規與大社區共識。</w:t>
            </w:r>
          </w:p>
        </w:tc>
      </w:tr>
      <w:tr>
        <w:tc>
          <w:tcPr>
            <w:tcW w:type="dxa" w:w="2401"/>
          </w:tcPr>
          <w:p>
            <w:r>
              <w:rPr>
                <w:color w:val="2D3748"/>
                <w:sz w:val="18"/>
              </w:rPr>
              <w:t>第二軌（次佳途徑）</w:t>
            </w:r>
          </w:p>
        </w:tc>
        <w:tc>
          <w:tcPr>
            <w:tcW w:type="dxa" w:w="2401"/>
          </w:tcPr>
          <w:p>
            <w:r>
              <w:rPr>
                <w:color w:val="2D3748"/>
                <w:sz w:val="18"/>
              </w:rPr>
              <w:t>調處不成立 ➔ 住戶連署召集</w:t>
              <w:br/>
              <w:t>依第 25 條由全體 1/5 區權人連署，請求主委召開臨時大會；不開則報請公所指定召集人。</w:t>
            </w:r>
          </w:p>
        </w:tc>
        <w:tc>
          <w:tcPr>
            <w:tcW w:type="dxa" w:w="2401"/>
          </w:tcPr>
          <w:p>
            <w:r>
              <w:rPr>
                <w:color w:val="2D3748"/>
                <w:sz w:val="18"/>
              </w:rPr>
              <w:t>需富宇大地全區至少 49 戶連署。</w:t>
            </w:r>
          </w:p>
        </w:tc>
        <w:tc>
          <w:tcPr>
            <w:tcW w:type="dxa" w:w="2401"/>
          </w:tcPr>
          <w:p>
            <w:r>
              <w:rPr>
                <w:color w:val="2D3748"/>
                <w:sz w:val="18"/>
              </w:rPr>
              <w:t>勝算中等 (60%)</w:t>
              <w:br/>
              <w:t>需跨區爭取友善住戶連署支持。</w:t>
            </w:r>
          </w:p>
        </w:tc>
      </w:tr>
      <w:tr>
        <w:tc>
          <w:tcPr>
            <w:tcW w:type="dxa" w:w="2401"/>
            <w:shd w:fill="F8FAFC"/>
          </w:tcPr>
          <w:p>
            <w:r>
              <w:rPr>
                <w:color w:val="2D3748"/>
                <w:sz w:val="18"/>
              </w:rPr>
              <w:t>第三軌（最後手段）</w:t>
            </w:r>
          </w:p>
        </w:tc>
        <w:tc>
          <w:tcPr>
            <w:tcW w:type="dxa" w:w="2401"/>
            <w:shd w:fill="F8FAFC"/>
          </w:tcPr>
          <w:p>
            <w:r>
              <w:rPr>
                <w:color w:val="2D3748"/>
                <w:sz w:val="18"/>
              </w:rPr>
              <w:t>司法訴訟（民事確認之訴）</w:t>
              <w:br/>
              <w:t>訴請法院「確認原告 6 戶與富宇大地管委會管理維護關係不存在」並返還基金。</w:t>
            </w:r>
          </w:p>
        </w:tc>
        <w:tc>
          <w:tcPr>
            <w:tcW w:type="dxa" w:w="2401"/>
            <w:shd w:fill="F8FAFC"/>
          </w:tcPr>
          <w:p>
            <w:r>
              <w:rPr>
                <w:color w:val="2D3748"/>
                <w:sz w:val="18"/>
              </w:rPr>
              <w:t>司法實務高度尊重規約自治，訴訟歷時 1-2 年。</w:t>
            </w:r>
          </w:p>
        </w:tc>
        <w:tc>
          <w:tcPr>
            <w:tcW w:type="dxa" w:w="2401"/>
            <w:shd w:fill="F8FAFC"/>
          </w:tcPr>
          <w:p>
            <w:r>
              <w:rPr>
                <w:color w:val="2D3748"/>
                <w:sz w:val="18"/>
              </w:rPr>
              <w:t>勝算偏低 (35-40%)</w:t>
              <w:br/>
              <w:t>極易遭以規約未變更欠缺保護必要駁回。</w:t>
            </w:r>
          </w:p>
        </w:tc>
      </w:tr>
    </w:tbl>
    <w:p>
      <w:pPr>
        <w:spacing w:after="120"/>
      </w:pPr>
    </w:p>
    <w:p>
      <w:pPr>
        <w:spacing w:after="120" w:line="312" w:lineRule="auto"/>
      </w:pPr>
      <w:r>
        <w:rPr>
          <w:rFonts w:ascii="PingFang TC" w:hAnsi="PingFang TC"/>
          <w:color w:val="2D3748"/>
          <w:sz w:val="20"/>
        </w:rPr>
        <w:t>&lt;!-- PAGE BREAK --&gt;</w:t>
      </w:r>
    </w:p>
    <w:p>
      <w:pPr>
        <w:spacing w:after="120" w:line="312" w:lineRule="auto"/>
      </w:pPr>
      <w:r>
        <w:rPr>
          <w:rFonts w:ascii="PingFang TC" w:hAnsi="PingFang TC"/>
          <w:color w:val="2D3748"/>
          <w:sz w:val="20"/>
        </w:rPr>
        <w:t># 臺中市住宅發展工程處送件前電詢確認清單</w:t>
      </w:r>
    </w:p>
    <w:p>
      <w:pPr>
        <w:spacing w:after="120" w:line="312" w:lineRule="auto"/>
      </w:pPr>
      <w:r>
        <w:rPr>
          <w:rFonts w:ascii="PingFang TC" w:hAnsi="PingFang TC"/>
          <w:color w:val="2D3748"/>
          <w:sz w:val="20"/>
        </w:rPr>
        <w:t>諮詢單位：臺中市政府都發局住宅發展工程處（公寓大廈管理科）</w:t>
      </w:r>
    </w:p>
    <w:p>
      <w:pPr>
        <w:spacing w:after="120" w:line="312" w:lineRule="auto"/>
      </w:pPr>
      <w:r>
        <w:rPr>
          <w:rFonts w:ascii="PingFang TC" w:hAnsi="PingFang TC"/>
          <w:color w:val="2D3748"/>
          <w:sz w:val="20"/>
        </w:rPr>
        <w:t>電話：(04) 2228-9111</w:t>
      </w:r>
    </w:p>
    <w:tbl>
      <w:tblPr>
        <w:tblW w:type="auto" w:w="0"/>
        <w:jc w:val="center"/>
        <w:tblLook w:firstColumn="1" w:firstRow="1" w:lastColumn="0" w:lastRow="0" w:noHBand="0" w:noVBand="1" w:val="04A0"/>
      </w:tblPr>
      <w:tblGrid>
        <w:gridCol w:w="2401"/>
        <w:gridCol w:w="2401"/>
        <w:gridCol w:w="2401"/>
        <w:gridCol w:w="2401"/>
      </w:tblGrid>
      <w:tr>
        <w:tc>
          <w:tcPr>
            <w:tcW w:type="dxa" w:w="2401"/>
            <w:shd w:fill="2D3748"/>
          </w:tcPr>
          <w:p>
            <w:r>
              <w:rPr>
                <w:b/>
                <w:color w:val="FFFFFF"/>
                <w:sz w:val="19"/>
              </w:rPr>
              <w:t>項次</w:t>
            </w:r>
          </w:p>
        </w:tc>
        <w:tc>
          <w:tcPr>
            <w:tcW w:type="dxa" w:w="2401"/>
            <w:shd w:fill="2D3748"/>
          </w:tcPr>
          <w:p>
            <w:r>
              <w:rPr>
                <w:b/>
                <w:color w:val="FFFFFF"/>
                <w:sz w:val="19"/>
              </w:rPr>
              <w:t>查核確認事項</w:t>
            </w:r>
          </w:p>
        </w:tc>
        <w:tc>
          <w:tcPr>
            <w:tcW w:type="dxa" w:w="2401"/>
            <w:shd w:fill="2D3748"/>
          </w:tcPr>
          <w:p>
            <w:r>
              <w:rPr>
                <w:b/>
                <w:color w:val="FFFFFF"/>
                <w:sz w:val="19"/>
              </w:rPr>
              <w:t>具體提問話術範例</w:t>
            </w:r>
          </w:p>
        </w:tc>
        <w:tc>
          <w:tcPr>
            <w:tcW w:type="dxa" w:w="2401"/>
            <w:shd w:fill="2D3748"/>
          </w:tcPr>
          <w:p>
            <w:r>
              <w:rPr>
                <w:b/>
                <w:color w:val="FFFFFF"/>
                <w:sz w:val="19"/>
              </w:rPr>
              <w:t>追蹤要點</w:t>
            </w:r>
          </w:p>
        </w:tc>
      </w:tr>
      <w:tr>
        <w:tc>
          <w:tcPr>
            <w:tcW w:type="dxa" w:w="2401"/>
            <w:shd w:fill="F8FAFC"/>
          </w:tcPr>
          <w:p>
            <w:r>
              <w:rPr>
                <w:color w:val="2D3748"/>
                <w:sz w:val="18"/>
              </w:rPr>
              <w:t>1</w:t>
            </w:r>
          </w:p>
        </w:tc>
        <w:tc>
          <w:tcPr>
            <w:tcW w:type="dxa" w:w="2401"/>
            <w:shd w:fill="F8FAFC"/>
          </w:tcPr>
          <w:p>
            <w:r>
              <w:rPr>
                <w:color w:val="2D3748"/>
                <w:sz w:val="18"/>
              </w:rPr>
              <w:t>受理科室與公文窗口</w:t>
            </w:r>
          </w:p>
        </w:tc>
        <w:tc>
          <w:tcPr>
            <w:tcW w:type="dxa" w:w="2401"/>
            <w:shd w:fill="F8FAFC"/>
          </w:tcPr>
          <w:p>
            <w:r>
              <w:rPr>
                <w:color w:val="2D3748"/>
                <w:sz w:val="18"/>
              </w:rPr>
              <w:t>「請問都發局住宅發展工程處辦理《公寓大廈管理條例》第 59-1 條爭議調處，收件窗口是哪一科？地址送文心路或都發局本部？」</w:t>
            </w:r>
          </w:p>
        </w:tc>
        <w:tc>
          <w:tcPr>
            <w:tcW w:type="dxa" w:w="2401"/>
            <w:shd w:fill="F8FAFC"/>
          </w:tcPr>
          <w:p>
            <w:r>
              <w:rPr>
                <w:color w:val="2D3748"/>
                <w:sz w:val="18"/>
              </w:rPr>
              <w:t>確認確切收件地址與承辦分機。</w:t>
            </w:r>
          </w:p>
        </w:tc>
      </w:tr>
      <w:tr>
        <w:tc>
          <w:tcPr>
            <w:tcW w:type="dxa" w:w="2401"/>
          </w:tcPr>
          <w:p>
            <w:r>
              <w:rPr>
                <w:color w:val="2D3748"/>
                <w:sz w:val="18"/>
              </w:rPr>
              <w:t>2</w:t>
            </w:r>
          </w:p>
        </w:tc>
        <w:tc>
          <w:tcPr>
            <w:tcW w:type="dxa" w:w="2401"/>
          </w:tcPr>
          <w:p>
            <w:r>
              <w:rPr>
                <w:color w:val="2D3748"/>
                <w:sz w:val="18"/>
              </w:rPr>
              <w:t>申請事由受理要件</w:t>
            </w:r>
          </w:p>
        </w:tc>
        <w:tc>
          <w:tcPr>
            <w:tcW w:type="dxa" w:w="2401"/>
          </w:tcPr>
          <w:p>
            <w:r>
              <w:rPr>
                <w:color w:val="2D3748"/>
                <w:sz w:val="18"/>
              </w:rPr>
              <w:t>「申請人為 6 戶臨路透天，因第 53 條集居分流管理範圍產生歧見擬申請調處，請求排入大會審議之標的是否屬常態受理範圍？」</w:t>
            </w:r>
          </w:p>
        </w:tc>
        <w:tc>
          <w:tcPr>
            <w:tcW w:type="dxa" w:w="2401"/>
          </w:tcPr>
          <w:p>
            <w:r>
              <w:rPr>
                <w:color w:val="2D3748"/>
                <w:sz w:val="18"/>
              </w:rPr>
              <w:t>防止承辦人以涉及自治為由初審駁回。</w:t>
            </w:r>
          </w:p>
        </w:tc>
      </w:tr>
      <w:tr>
        <w:tc>
          <w:tcPr>
            <w:tcW w:type="dxa" w:w="2401"/>
            <w:shd w:fill="F8FAFC"/>
          </w:tcPr>
          <w:p>
            <w:r>
              <w:rPr>
                <w:color w:val="2D3748"/>
                <w:sz w:val="18"/>
              </w:rPr>
              <w:t>3</w:t>
            </w:r>
          </w:p>
        </w:tc>
        <w:tc>
          <w:tcPr>
            <w:tcW w:type="dxa" w:w="2401"/>
            <w:shd w:fill="F8FAFC"/>
          </w:tcPr>
          <w:p>
            <w:r>
              <w:rPr>
                <w:color w:val="2D3748"/>
                <w:sz w:val="18"/>
              </w:rPr>
              <w:t>法定份數與附件要件</w:t>
            </w:r>
          </w:p>
        </w:tc>
        <w:tc>
          <w:tcPr>
            <w:tcW w:type="dxa" w:w="2401"/>
            <w:shd w:fill="F8FAFC"/>
          </w:tcPr>
          <w:p>
            <w:r>
              <w:rPr>
                <w:color w:val="2D3748"/>
                <w:sz w:val="18"/>
              </w:rPr>
              <w:t>「請問調處申請書需正副本各幾份？委任代理人出席是否需提供全體區權人最新登記謄本與印鑑證明？」</w:t>
            </w:r>
          </w:p>
        </w:tc>
        <w:tc>
          <w:tcPr>
            <w:tcW w:type="dxa" w:w="2401"/>
            <w:shd w:fill="F8FAFC"/>
          </w:tcPr>
          <w:p>
            <w:r>
              <w:rPr>
                <w:color w:val="2D3748"/>
                <w:sz w:val="18"/>
              </w:rPr>
              <w:t>備齊正本與委員閱覽副本份數。</w:t>
            </w:r>
          </w:p>
        </w:tc>
      </w:tr>
      <w:tr>
        <w:tc>
          <w:tcPr>
            <w:tcW w:type="dxa" w:w="2401"/>
          </w:tcPr>
          <w:p>
            <w:r>
              <w:rPr>
                <w:color w:val="2D3748"/>
                <w:sz w:val="18"/>
              </w:rPr>
              <w:t>4</w:t>
            </w:r>
          </w:p>
        </w:tc>
        <w:tc>
          <w:tcPr>
            <w:tcW w:type="dxa" w:w="2401"/>
          </w:tcPr>
          <w:p>
            <w:r>
              <w:rPr>
                <w:color w:val="2D3748"/>
                <w:sz w:val="18"/>
              </w:rPr>
              <w:t>行政規費與繳納方式</w:t>
            </w:r>
          </w:p>
        </w:tc>
        <w:tc>
          <w:tcPr>
            <w:tcW w:type="dxa" w:w="2401"/>
          </w:tcPr>
          <w:p>
            <w:r>
              <w:rPr>
                <w:color w:val="2D3748"/>
                <w:sz w:val="18"/>
              </w:rPr>
              <w:t>「依臺中市爭議事件調處自治收費標準，申請調處是否需繳納行政規費？金額多少？繳費採臨櫃或匯票？」</w:t>
            </w:r>
          </w:p>
        </w:tc>
        <w:tc>
          <w:tcPr>
            <w:tcW w:type="dxa" w:w="2401"/>
          </w:tcPr>
          <w:p>
            <w:r>
              <w:rPr>
                <w:color w:val="2D3748"/>
                <w:sz w:val="18"/>
              </w:rPr>
              <w:t>確認規費金額，隨公文附上匯票。</w:t>
            </w:r>
          </w:p>
        </w:tc>
      </w:tr>
      <w:tr>
        <w:tc>
          <w:tcPr>
            <w:tcW w:type="dxa" w:w="2401"/>
            <w:shd w:fill="F8FAFC"/>
          </w:tcPr>
          <w:p>
            <w:r>
              <w:rPr>
                <w:color w:val="2D3748"/>
                <w:sz w:val="18"/>
              </w:rPr>
              <w:t>5</w:t>
            </w:r>
          </w:p>
        </w:tc>
        <w:tc>
          <w:tcPr>
            <w:tcW w:type="dxa" w:w="2401"/>
            <w:shd w:fill="F8FAFC"/>
          </w:tcPr>
          <w:p>
            <w:r>
              <w:rPr>
                <w:color w:val="2D3748"/>
                <w:sz w:val="18"/>
              </w:rPr>
              <w:t>報備主管轄區釐清</w:t>
            </w:r>
          </w:p>
        </w:tc>
        <w:tc>
          <w:tcPr>
            <w:tcW w:type="dxa" w:w="2401"/>
            <w:shd w:fill="F8FAFC"/>
          </w:tcPr>
          <w:p>
            <w:r>
              <w:rPr>
                <w:color w:val="2D3748"/>
                <w:sz w:val="18"/>
              </w:rPr>
              <w:t>「富宇大地社區 115 年 5 月 14 日報備案，主管機關究竟是『龍井區公所』還是『沙鹿區公所』？」</w:t>
            </w:r>
          </w:p>
        </w:tc>
        <w:tc>
          <w:tcPr>
            <w:tcW w:type="dxa" w:w="2401"/>
            <w:shd w:fill="F8FAFC"/>
          </w:tcPr>
          <w:p>
            <w:r>
              <w:rPr>
                <w:color w:val="2D3748"/>
                <w:sz w:val="18"/>
              </w:rPr>
              <w:t>終結全卷機關矛盾，鎖定單一轄區公所。</w:t>
            </w:r>
          </w:p>
        </w:tc>
      </w:tr>
    </w:tbl>
    <w:p>
      <w:pPr>
        <w:spacing w:after="120"/>
      </w:pPr>
    </w:p>
    <w:p>
      <w:pPr>
        <w:spacing w:after="120" w:line="312" w:lineRule="auto"/>
      </w:pPr>
      <w:r>
        <w:rPr>
          <w:rFonts w:ascii="PingFang TC" w:hAnsi="PingFang TC"/>
          <w:color w:val="2D3748"/>
          <w:sz w:val="20"/>
        </w:rPr>
        <w:t>&lt;!-- PAGE BREAK --&gt;</w:t>
      </w:r>
    </w:p>
    <w:p>
      <w:pPr>
        <w:spacing w:after="120" w:line="312" w:lineRule="auto"/>
      </w:pPr>
      <w:r>
        <w:rPr>
          <w:rFonts w:ascii="PingFang TC" w:hAnsi="PingFang TC"/>
          <w:color w:val="2D3748"/>
          <w:sz w:val="20"/>
        </w:rPr>
        <w:t># 全卷法規、金額、去向與事實記載一致性檢查表</w:t>
      </w:r>
    </w:p>
    <w:tbl>
      <w:tblPr>
        <w:tblW w:type="auto" w:w="0"/>
        <w:jc w:val="center"/>
        <w:tblLook w:firstColumn="1" w:firstRow="1" w:lastColumn="0" w:lastRow="0" w:noHBand="0" w:noVBand="1" w:val="04A0"/>
      </w:tblPr>
      <w:tblGrid>
        <w:gridCol w:w="2401"/>
        <w:gridCol w:w="2401"/>
        <w:gridCol w:w="2401"/>
        <w:gridCol w:w="2401"/>
      </w:tblGrid>
      <w:tr>
        <w:tc>
          <w:tcPr>
            <w:tcW w:type="dxa" w:w="2401"/>
            <w:shd w:fill="2D3748"/>
          </w:tcPr>
          <w:p>
            <w:r>
              <w:rPr>
                <w:b/>
                <w:color w:val="FFFFFF"/>
                <w:sz w:val="19"/>
              </w:rPr>
              <w:t>查核面向</w:t>
            </w:r>
          </w:p>
        </w:tc>
        <w:tc>
          <w:tcPr>
            <w:tcW w:type="dxa" w:w="2401"/>
            <w:shd w:fill="2D3748"/>
          </w:tcPr>
          <w:p>
            <w:r>
              <w:rPr>
                <w:b/>
                <w:color w:val="FFFFFF"/>
                <w:sz w:val="19"/>
              </w:rPr>
              <w:t>原始卷宗之錯誤與矛盾</w:t>
            </w:r>
          </w:p>
        </w:tc>
        <w:tc>
          <w:tcPr>
            <w:tcW w:type="dxa" w:w="2401"/>
            <w:shd w:fill="2D3748"/>
          </w:tcPr>
          <w:p>
            <w:r>
              <w:rPr>
                <w:b/>
                <w:color w:val="FFFFFF"/>
                <w:sz w:val="19"/>
              </w:rPr>
              <w:t>改寫後標準規範（全卷絕對一致）</w:t>
            </w:r>
          </w:p>
        </w:tc>
        <w:tc>
          <w:tcPr>
            <w:tcW w:type="dxa" w:w="2401"/>
            <w:shd w:fill="2D3748"/>
          </w:tcPr>
          <w:p>
            <w:r>
              <w:rPr>
                <w:b/>
                <w:color w:val="FFFFFF"/>
                <w:sz w:val="19"/>
              </w:rPr>
              <w:t>覆核結果</w:t>
            </w:r>
          </w:p>
        </w:tc>
      </w:tr>
      <w:tr>
        <w:tc>
          <w:tcPr>
            <w:tcW w:type="dxa" w:w="2401"/>
            <w:shd w:fill="F8FAFC"/>
          </w:tcPr>
          <w:p>
            <w:r>
              <w:rPr>
                <w:color w:val="2D3748"/>
                <w:sz w:val="18"/>
              </w:rPr>
              <w:t>法律依據</w:t>
            </w:r>
          </w:p>
        </w:tc>
        <w:tc>
          <w:tcPr>
            <w:tcW w:type="dxa" w:w="2401"/>
            <w:shd w:fill="F8FAFC"/>
          </w:tcPr>
          <w:p>
            <w:r>
              <w:rPr>
                <w:color w:val="2D3748"/>
                <w:sz w:val="18"/>
              </w:rPr>
              <w:t>引用商辦分立第 26 條；誤稱調處具確定判決效力；引述未查證函釋與裁判。</w:t>
            </w:r>
          </w:p>
        </w:tc>
        <w:tc>
          <w:tcPr>
            <w:tcW w:type="dxa" w:w="2401"/>
            <w:shd w:fill="F8FAFC"/>
          </w:tcPr>
          <w:p>
            <w:r>
              <w:rPr>
                <w:color w:val="2D3748"/>
                <w:sz w:val="18"/>
              </w:rPr>
              <w:t>全卷統一引用第 53 條集居分流、第 31 條規約變更特別決議、第 59-1 條和解契約調處；不實判決全數刪除。</w:t>
            </w:r>
          </w:p>
        </w:tc>
        <w:tc>
          <w:tcPr>
            <w:tcW w:type="dxa" w:w="2401"/>
            <w:shd w:fill="F8FAFC"/>
          </w:tcPr>
          <w:p>
            <w:r>
              <w:rPr>
                <w:color w:val="2D3748"/>
                <w:sz w:val="18"/>
              </w:rPr>
              <w:t>通過</w:t>
            </w:r>
          </w:p>
        </w:tc>
      </w:tr>
      <w:tr>
        <w:tc>
          <w:tcPr>
            <w:tcW w:type="dxa" w:w="2401"/>
          </w:tcPr>
          <w:p>
            <w:r>
              <w:rPr>
                <w:color w:val="2D3748"/>
                <w:sz w:val="18"/>
              </w:rPr>
              <w:t>專案金額</w:t>
            </w:r>
          </w:p>
        </w:tc>
        <w:tc>
          <w:tcPr>
            <w:tcW w:type="dxa" w:w="2401"/>
          </w:tcPr>
          <w:p>
            <w:r>
              <w:rPr>
                <w:color w:val="2D3748"/>
                <w:sz w:val="18"/>
              </w:rPr>
              <w:t>誤算為 284,731 元，衍生每戶退 47,455 元、5 年 392,731 元等錯誤數字。</w:t>
            </w:r>
          </w:p>
        </w:tc>
        <w:tc>
          <w:tcPr>
            <w:tcW w:type="dxa" w:w="2401"/>
          </w:tcPr>
          <w:p>
            <w:r>
              <w:rPr>
                <w:color w:val="2D3748"/>
                <w:sz w:val="18"/>
              </w:rPr>
              <w:t>全卷統一基準：新光定存（220,231 元）＋ 交屋基金（60,000 元）＝ 280,231 元（利息標【待查證】）。</w:t>
            </w:r>
          </w:p>
        </w:tc>
        <w:tc>
          <w:tcPr>
            <w:tcW w:type="dxa" w:w="2401"/>
          </w:tcPr>
          <w:p>
            <w:r>
              <w:rPr>
                <w:color w:val="2D3748"/>
                <w:sz w:val="18"/>
              </w:rPr>
              <w:t>通過</w:t>
            </w:r>
          </w:p>
        </w:tc>
      </w:tr>
      <w:tr>
        <w:tc>
          <w:tcPr>
            <w:tcW w:type="dxa" w:w="2401"/>
            <w:shd w:fill="F8FAFC"/>
          </w:tcPr>
          <w:p>
            <w:r>
              <w:rPr>
                <w:color w:val="2D3748"/>
                <w:sz w:val="18"/>
              </w:rPr>
              <w:t>款項去向</w:t>
            </w:r>
          </w:p>
        </w:tc>
        <w:tc>
          <w:tcPr>
            <w:tcW w:type="dxa" w:w="2401"/>
            <w:shd w:fill="F8FAFC"/>
          </w:tcPr>
          <w:p>
            <w:r>
              <w:rPr>
                <w:color w:val="2D3748"/>
                <w:sz w:val="18"/>
              </w:rPr>
              <w:t>退還個人私帳 / 成立管委會 / 終生免繳與月繳 400 互撞。</w:t>
            </w:r>
          </w:p>
        </w:tc>
        <w:tc>
          <w:tcPr>
            <w:tcW w:type="dxa" w:w="2401"/>
            <w:shd w:fill="F8FAFC"/>
          </w:tcPr>
          <w:p>
            <w:r>
              <w:rPr>
                <w:color w:val="2D3748"/>
                <w:sz w:val="18"/>
              </w:rPr>
              <w:t>全卷統一：簽訂共管協議書，存入雙人簽章共管專戶，用於路燈側溝維護，不另設管委會，嚴禁流入個人。</w:t>
            </w:r>
          </w:p>
        </w:tc>
        <w:tc>
          <w:tcPr>
            <w:tcW w:type="dxa" w:w="2401"/>
            <w:shd w:fill="F8FAFC"/>
          </w:tcPr>
          <w:p>
            <w:r>
              <w:rPr>
                <w:color w:val="2D3748"/>
                <w:sz w:val="18"/>
              </w:rPr>
              <w:t>通過</w:t>
            </w:r>
          </w:p>
        </w:tc>
      </w:tr>
      <w:tr>
        <w:tc>
          <w:tcPr>
            <w:tcW w:type="dxa" w:w="2401"/>
          </w:tcPr>
          <w:p>
            <w:r>
              <w:rPr>
                <w:color w:val="2D3748"/>
                <w:sz w:val="18"/>
              </w:rPr>
              <w:t>代理權限</w:t>
            </w:r>
          </w:p>
        </w:tc>
        <w:tc>
          <w:tcPr>
            <w:tcW w:type="dxa" w:w="2401"/>
          </w:tcPr>
          <w:p>
            <w:r>
              <w:rPr>
                <w:color w:val="2D3748"/>
                <w:sz w:val="18"/>
              </w:rPr>
              <w:t>誤稱法定代理人、授權召集人代收處分公款。</w:t>
            </w:r>
          </w:p>
        </w:tc>
        <w:tc>
          <w:tcPr>
            <w:tcW w:type="dxa" w:w="2401"/>
          </w:tcPr>
          <w:p>
            <w:r>
              <w:rPr>
                <w:color w:val="2D3748"/>
                <w:sz w:val="18"/>
              </w:rPr>
              <w:t>全卷統一：委任代理人，嚴禁代收公款，增列 1 年期限、結算報告義務、禁複委任、個資專用、共有戶全員簽章。</w:t>
            </w:r>
          </w:p>
        </w:tc>
        <w:tc>
          <w:tcPr>
            <w:tcW w:type="dxa" w:w="2401"/>
          </w:tcPr>
          <w:p>
            <w:r>
              <w:rPr>
                <w:color w:val="2D3748"/>
                <w:sz w:val="18"/>
              </w:rPr>
              <w:t>通過</w:t>
            </w:r>
          </w:p>
        </w:tc>
      </w:tr>
      <w:tr>
        <w:tc>
          <w:tcPr>
            <w:tcW w:type="dxa" w:w="2401"/>
            <w:shd w:fill="F8FAFC"/>
          </w:tcPr>
          <w:p>
            <w:r>
              <w:rPr>
                <w:color w:val="2D3748"/>
                <w:sz w:val="18"/>
              </w:rPr>
              <w:t>文字語氣</w:t>
            </w:r>
          </w:p>
        </w:tc>
        <w:tc>
          <w:tcPr>
            <w:tcW w:type="dxa" w:w="2401"/>
            <w:shd w:fill="F8FAFC"/>
          </w:tcPr>
          <w:p>
            <w:r>
              <w:rPr>
                <w:color w:val="2D3748"/>
                <w:sz w:val="18"/>
              </w:rPr>
              <w:t>使用「官方白紙黑字、審計、鑑定、破局、王牌、戰情室」等對抗宣傳詞。</w:t>
            </w:r>
          </w:p>
        </w:tc>
        <w:tc>
          <w:tcPr>
            <w:tcW w:type="dxa" w:w="2401"/>
            <w:shd w:fill="F8FAFC"/>
          </w:tcPr>
          <w:p>
            <w:r>
              <w:rPr>
                <w:color w:val="2D3748"/>
                <w:sz w:val="18"/>
              </w:rPr>
              <w:t>全數修正為客觀公文法言語氣，訴求雙方互利、管理單純化；不確定日期、公所、利息一律標【待查證】。</w:t>
            </w:r>
          </w:p>
        </w:tc>
        <w:tc>
          <w:tcPr>
            <w:tcW w:type="dxa" w:w="2401"/>
            <w:shd w:fill="F8FAFC"/>
          </w:tcPr>
          <w:p>
            <w:r>
              <w:rPr>
                <w:color w:val="2D3748"/>
                <w:sz w:val="18"/>
              </w:rPr>
              <w:t>通過</w:t>
            </w:r>
          </w:p>
        </w:tc>
      </w:tr>
    </w:tbl>
    <w:p>
      <w:pPr>
        <w:spacing w:after="120"/>
      </w:pP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