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rFonts w:ascii="PingFang TC" w:hAnsi="PingFang TC"/>
          <w:b/>
          <w:color w:val="A83212"/>
          <w:sz w:val="36"/>
        </w:rPr>
        <w:t>依《公寓大廈管理條例》第35條請求閱覽影印資料函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# 依《公寓大廈管理條例》第 35 條請求閱覽影印資料函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發文字號：富大境字第 115【待查證】號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受文者：富宇大地社區管理委員會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副本：臺中市【待查證：龍井區或沙鹿區】公所、主管機關臺中市政府都市發展局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發文日期：中華民國 115 年【待查證】月【待查證】日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速別：最速件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主旨：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為維護區分所有權人合法權益並釐清社區資產與規約現況，本區全體 6 戶區分所有權人謹依《公寓大廈管理條例》第 35 條規定，正式向貴管理委員會申請閱覽、影印如說明二所示之會議紀錄、財務報表及報備公文等文件，敬請於文到 7 日內惠予排定查閱時間與提供影本，請 查照惠復。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說明：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一、法規依據：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按《公寓大廈管理條例》第 35 條明定：「利害關係人於必要時，得請求閱覽或影印規約、公共基金餘額、會計憑證、會計帳簿、財務報表、欠繳公共基金與應分攤或其他應負擔費用情形、管理委員會會議紀錄及前條第三項所列之文件，管理負責人或管理委員會不得拒絕。」次按同條例第 48 條第 1 款規定，管理負責人、主任委員或管理委員無正當理由違反第 35 條規定拒絕利害關係人閱覽或影印者，由主管機關處新臺幣三千元以上一萬五千元以下罰鍰，並得令其限期改善，合先敘明。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二、申請閱覽與影印之標的清單：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1. 管理委員會會議紀錄：民國 115 年 5 月 6 日第二屆第 X 次例行管理委員會會議紀錄全份（含出席簽到簿、決議各區分別定存辦理方式之議題完整內容）。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2. 當期及歷史財務會計文件：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民國 115 年 5 月份至 9 月份（及最新月份）之財務月報表、收支明細表、資產負債表。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新光銀行「A2 大境區定存單」（面額 220,231 元）之原始存單存根影本、起息日、利率及孳息明細表。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起造人富宇建設交付管委會之「交屋管理基金」（含 A2 區每戶 10,000 元，共 60,000 元）撥付傳票與專戶明細帳冊。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3. 規約與報備法定公文原本：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現行經區公所備查生效之《富宇大地社區規約》全份原本（含所有條文、管理費標準及附屬規則）。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- 民國 115 年 5 月 14 日向主管機關申報 241 戶合併報備之全套公文原本（含報備申請書、自主檢查表、公所核准備查函、全區建築物配置清冊）。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三、作業期限與費用負擔：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請貴會於收受本函翌日起算 7 日內，指派專人聯繫受託代表廖倫豪先生（電話：09XX-XXX-XXX），排定於社區管理室現場閱覽正本並交付影印本。查閱與影印所需之紙張規費，由申請人全額核實支付，絕不增加貴會負擔。倘貴會無正當理由逾期不予置理，申請人將依法報請主管機關進行行政裁處。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申請人（富宇大境 A2 區全體區權人簽章）：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593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595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597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599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601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龍社路 603 號 區權人：_______________（簽章）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受託代表：廖倫豪（簽章）</w:t>
      </w:r>
    </w:p>
    <w:p>
      <w:pPr>
        <w:spacing w:after="120" w:line="312" w:lineRule="auto"/>
      </w:pPr>
      <w:r>
        <w:rPr>
          <w:rFonts w:ascii="PingFang TC" w:hAnsi="PingFang TC"/>
          <w:color w:val="2D3748"/>
          <w:sz w:val="20"/>
        </w:rPr>
        <w:t>通訊地址：臺中市沙鹿區龍社路 595 號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