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PingFang TC" w:hAnsi="PingFang TC"/>
          <w:b/>
          <w:color w:val="A83212"/>
          <w:sz w:val="36"/>
        </w:rPr>
        <w:t>富宇大境（A2 區）全體區分所有權人委任書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# 富宇大境（A2 區）區分所有權人管理協商與調處委任書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委任人（即臺中市沙鹿區龍社路 593、595、597、599、601、603 號全體區分所有權人，含共有持分人全體）茲因辦理富宇大地社區管理範圍變更協商、臺中市政府公寓大廈爭議事件調處及款項專戶移交等事宜，特依法委任 受任人：廖倫豪 先生 為代理人，委任條款如下：</w:t>
      </w:r>
    </w:p>
    <w:p>
      <w:pPr>
        <w:spacing w:before="200" w:after="80"/>
      </w:pPr>
      <w:r>
        <w:rPr>
          <w:rFonts w:ascii="PingFang TC" w:hAnsi="PingFang TC"/>
          <w:b/>
          <w:color w:val="D97706"/>
          <w:sz w:val="24"/>
        </w:rPr>
        <w:t>第一條（委任授權範圍）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1. 代表委任人依《公寓大廈管理條例》第 35 條規定向富宇大地社區管理委員會行使文件閱覽、影印申請權。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2. 代表委任人出席富宇大地社區管委會例會、溝通協調會議，就「A2 區退出管理範圍及資產移交結算」進行協商與陳述意見。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3. 代表委任人依《公寓大廈管理條例》第 59 條之 1 規定，向臺中市政府公寓大廈爭議事件調處委員會提出調處申請、出席調處會議、陳述意見，並在符合本委任書約定之框架下作成和解（特別授權）。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4. 代表委任人向主管機關區公所、臺中市政府都市發展局等行政機關遞送、補正及收受相關行政報備通知公文。</w:t>
      </w:r>
    </w:p>
    <w:p>
      <w:pPr>
        <w:spacing w:before="200" w:after="80"/>
      </w:pPr>
      <w:r>
        <w:rPr>
          <w:rFonts w:ascii="PingFang TC" w:hAnsi="PingFang TC"/>
          <w:b/>
          <w:color w:val="D97706"/>
          <w:sz w:val="24"/>
        </w:rPr>
        <w:t>第二條（特別權限限制與款項禁止個人代收）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1. 嚴禁私人代收處分公款：受任人絕無代受任人個人收受、受領或提領任何本案返還款項之權限。所有因本案結算所返還之定存單款項（220,231 元及孳息【待查證】）或交屋管理基金（60,000 元），一律必須直接電匯入委任人全體設立之「富宇大境 A2 雙人簽章共管專戶」，不得流入受任人或任何個別區權人之私人帳戶。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2. 不動產私權限制：本委任純限於公寓大廈管理維護爭議之協商與程序代理，受任人絕對不得處分委任人名下之不動產物權（包含買賣、移轉、設定負擔或租賃等物權處分行為，委任人均未授權）。</w:t>
      </w:r>
    </w:p>
    <w:p>
      <w:pPr>
        <w:spacing w:before="200" w:after="80"/>
      </w:pPr>
      <w:r>
        <w:rPr>
          <w:rFonts w:ascii="PingFang TC" w:hAnsi="PingFang TC"/>
          <w:b/>
          <w:color w:val="D97706"/>
          <w:sz w:val="24"/>
        </w:rPr>
        <w:t>第三條（委任期限、禁止複委任與報告義務）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1. 委任期限：本委任有效期間自簽署之日起算為期 壹年。逾期若有展延必要，應經全體委任人書面換約。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2. 禁止複委任：受任人應親自處理本委任事務，不得複委任第三人代為處理。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3. 誠信報告與結算義務：受任人應於處理每階段重大事務（調處會議期日、管委會回函、區公所函覆）後 3 日內向委任人據實報告進度。於調處成立、大會決議通過或本委任終止時，應於 14 日內提出完整書面結算報告及憑證供委任人全體查核。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4. 個人資料保護專用：委任人所提供之個人身分資料，僅限本案向主管機關申報、調處送件及向管委會核對身分之特定目的使用，嚴禁外流。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委任人簽署名冊（含共有持分人全體親筆簽名印鑑）：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593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595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597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599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601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603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(備註：若該戶建物為夫妻或親友共有，共有權人全體均須逐一列名簽章)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受任人（代理人）：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姓名：廖倫豪（親筆簽名蓋章）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通訊地址：臺中市沙鹿區龍社路 595 號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中華民國 115 年【待查證】月【待查證】日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