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PingFang TC" w:hAnsi="PingFang TC"/>
          <w:b/>
          <w:color w:val="A83212"/>
          <w:sz w:val="36"/>
        </w:rPr>
        <w:t>富宇大境（A2 區）六戶獨立管理專款共管協議書</w:t>
      </w:r>
    </w:p>
    <w:p>
      <w:pPr>
        <w:spacing w:after="120" w:line="312" w:lineRule="auto"/>
      </w:pPr>
      <w:r>
        <w:rPr>
          <w:rFonts w:ascii="PingFang TC" w:hAnsi="PingFang TC"/>
          <w:color w:val="2D3748"/>
          <w:sz w:val="20"/>
        </w:rPr>
        <w:t>立協議書人：臺中市沙鹿區龍社路 593 號、595 號、597 號、599 號、601 號、603 號全體區分所有權人。</w:t>
      </w:r>
    </w:p>
    <w:p>
      <w:pPr>
        <w:spacing w:after="120" w:line="312" w:lineRule="auto"/>
      </w:pPr>
      <w:r>
        <w:rPr>
          <w:rFonts w:ascii="PingFang TC" w:hAnsi="PingFang TC"/>
          <w:color w:val="2D3748"/>
          <w:sz w:val="20"/>
        </w:rPr>
        <w:t>緣起：</w:t>
      </w:r>
    </w:p>
    <w:p>
      <w:pPr>
        <w:spacing w:after="120" w:line="312" w:lineRule="auto"/>
      </w:pPr>
      <w:r>
        <w:rPr>
          <w:rFonts w:ascii="PingFang TC" w:hAnsi="PingFang TC"/>
          <w:color w:val="2D3748"/>
          <w:sz w:val="20"/>
        </w:rPr>
        <w:t>立約人 6 戶透天別墅緊鄰公有計畫道路龍社路，考量居住機能各自獨立，為落實《公寓大廈管理條例》第 53 條權責相符原則，於依合規程序自富宇大地社區完成管理範圍調整後，本區決議回歸一般透天自律生活，不另成立管理委員會。為妥善管理維護門前公用設施及本區自富宇大地社區結算返還之共有專案款項，特訂立本《共管協議書》：</w:t>
      </w:r>
    </w:p>
    <w:p>
      <w:pPr>
        <w:spacing w:before="200" w:after="80"/>
      </w:pPr>
      <w:r>
        <w:rPr>
          <w:rFonts w:ascii="PingFang TC" w:hAnsi="PingFang TC"/>
          <w:b/>
          <w:color w:val="D97706"/>
          <w:sz w:val="24"/>
        </w:rPr>
        <w:t>第一條（共管目的與治理模式）</w:t>
      </w:r>
    </w:p>
    <w:p>
      <w:pPr>
        <w:spacing w:after="120" w:line="312" w:lineRule="auto"/>
      </w:pPr>
      <w:r>
        <w:rPr>
          <w:rFonts w:ascii="PingFang TC" w:hAnsi="PingFang TC"/>
          <w:color w:val="2D3748"/>
          <w:sz w:val="20"/>
        </w:rPr>
        <w:t>本區 6 戶完成主管機關排除管理範圍報備後，不設立管理委員會、不設主任委員，免除選任委員、申報所得稅及常態記帳負擔。涉及 6 戶共同使用範圍之少數事務（如門前公用路燈、共同排水溝疏濬等），由全體立約人依本協議以民主合議方式共同管理。</w:t>
      </w:r>
    </w:p>
    <w:p>
      <w:pPr>
        <w:spacing w:before="200" w:after="80"/>
      </w:pPr>
      <w:r>
        <w:rPr>
          <w:rFonts w:ascii="PingFang TC" w:hAnsi="PingFang TC"/>
          <w:b/>
          <w:color w:val="D97706"/>
          <w:sz w:val="24"/>
        </w:rPr>
        <w:t>第二條（共管專戶之設立與雙人共同簽章制度）</w:t>
      </w:r>
    </w:p>
    <w:p>
      <w:pPr>
        <w:spacing w:after="120" w:line="312" w:lineRule="auto"/>
      </w:pPr>
      <w:r>
        <w:rPr>
          <w:rFonts w:ascii="PingFang TC" w:hAnsi="PingFang TC"/>
          <w:color w:val="2D3748"/>
          <w:sz w:val="20"/>
        </w:rPr>
        <w:t>1. 專戶開設：全體立約人合意推選 廖倫豪 先生（龍社路 595 號） 與 【待推選住戶】 先生/女士（龍社路【待填寫】號） 共兩名代表，於合法金融機構（新光銀行或臺灣銀行等）以雙人具名聯名帳戶方式設立「富宇大境 A2 專款共管專戶」。</w:t>
      </w:r>
    </w:p>
    <w:p>
      <w:pPr>
        <w:spacing w:after="120" w:line="312" w:lineRule="auto"/>
      </w:pPr>
      <w:r>
        <w:rPr>
          <w:rFonts w:ascii="PingFang TC" w:hAnsi="PingFang TC"/>
          <w:color w:val="2D3748"/>
          <w:sz w:val="20"/>
        </w:rPr>
        <w:t>2. 提支雙印鑑原則：共管專戶之留存印鑑必須為前開兩名推選代表人之私章。任何款項之取款、轉帳或提領，必須同時由兩名代表人共同親自蓋章，欠缺任一印鑑者，金融機構嚴禁受理。</w:t>
      </w:r>
    </w:p>
    <w:p>
      <w:pPr>
        <w:spacing w:after="120" w:line="312" w:lineRule="auto"/>
      </w:pPr>
      <w:r>
        <w:rPr>
          <w:rFonts w:ascii="PingFang TC" w:hAnsi="PingFang TC"/>
          <w:color w:val="2D3748"/>
          <w:sz w:val="20"/>
        </w:rPr>
        <w:t>3. 存摺由代表人甲保管，印鑑章由代表人乙保管，嚴禁一人兼管存摺與全數印章。</w:t>
      </w:r>
    </w:p>
    <w:p>
      <w:pPr>
        <w:spacing w:before="200" w:after="80"/>
      </w:pPr>
      <w:r>
        <w:rPr>
          <w:rFonts w:ascii="PingFang TC" w:hAnsi="PingFang TC"/>
          <w:b/>
          <w:color w:val="D97706"/>
          <w:sz w:val="24"/>
        </w:rPr>
        <w:t>第三條（專案款項注入與專款專用原則）</w:t>
      </w:r>
    </w:p>
    <w:p>
      <w:pPr>
        <w:spacing w:after="120" w:line="312" w:lineRule="auto"/>
      </w:pPr>
      <w:r>
        <w:rPr>
          <w:rFonts w:ascii="PingFang TC" w:hAnsi="PingFang TC"/>
          <w:color w:val="2D3748"/>
          <w:sz w:val="20"/>
        </w:rPr>
        <w:t>1. 自富宇大地社區管委會結算移交返還之本金 280,231 元（含 A2 定存單本金 220,231 元及孳息【待查證】、交屋管理基金 60,000 元，扣除應分攤款項後之淨額），應於收受當日全額存入共管專戶。</w:t>
      </w:r>
    </w:p>
    <w:p>
      <w:pPr>
        <w:spacing w:after="120" w:line="312" w:lineRule="auto"/>
      </w:pPr>
      <w:r>
        <w:rPr>
          <w:rFonts w:ascii="PingFang TC" w:hAnsi="PingFang TC"/>
          <w:color w:val="2D3748"/>
          <w:sz w:val="20"/>
        </w:rPr>
        <w:t>2. 專款專用範圍限制：嚴格限定僅得支應門前 6 戶公用路燈照明電費/修繕、門前公用水溝疏濬清潔消毒、帳戶規費等公共支出。</w:t>
      </w:r>
    </w:p>
    <w:p>
      <w:pPr>
        <w:spacing w:after="120" w:line="312" w:lineRule="auto"/>
      </w:pPr>
      <w:r>
        <w:rPr>
          <w:rFonts w:ascii="PingFang TC" w:hAnsi="PingFang TC"/>
          <w:color w:val="2D3748"/>
          <w:sz w:val="20"/>
        </w:rPr>
        <w:t>3. 禁止非公用分配：非經全體立約人一致書面決議，共管帳戶之本金與孳息嚴禁瓜分轉入任何個人私帳，亦不得挪用於個別住戶之私人支出。</w:t>
      </w:r>
    </w:p>
    <w:p>
      <w:pPr>
        <w:spacing w:before="200" w:after="80"/>
      </w:pPr>
      <w:r>
        <w:rPr>
          <w:rFonts w:ascii="PingFang TC" w:hAnsi="PingFang TC"/>
          <w:b/>
          <w:color w:val="D97706"/>
          <w:sz w:val="24"/>
        </w:rPr>
        <w:t>第四條（年度財務透明、免繳常態管理費與繼受人效力）</w:t>
      </w:r>
    </w:p>
    <w:p>
      <w:pPr>
        <w:spacing w:after="120" w:line="312" w:lineRule="auto"/>
      </w:pPr>
      <w:r>
        <w:rPr>
          <w:rFonts w:ascii="PingFang TC" w:hAnsi="PingFang TC"/>
          <w:color w:val="2D3748"/>
          <w:sz w:val="20"/>
        </w:rPr>
        <w:t>1. 每年 12 月 31 日前，兩名代表應編製年度收支明細表並檢附存摺與單據送達全體 6 戶立約人查核備查。</w:t>
      </w:r>
    </w:p>
    <w:p>
      <w:pPr>
        <w:spacing w:after="120" w:line="312" w:lineRule="auto"/>
      </w:pPr>
      <w:r>
        <w:rPr>
          <w:rFonts w:ascii="PingFang TC" w:hAnsi="PingFang TC"/>
          <w:color w:val="2D3748"/>
          <w:sz w:val="20"/>
        </w:rPr>
        <w:t>2. 本區平日各戶水電獨立繳費、垃圾門前等免費清潔隊，本區平日不向各戶收取常態性每月管理費，由專戶款項支應公用維護。</w:t>
      </w:r>
    </w:p>
    <w:p>
      <w:pPr>
        <w:spacing w:after="120" w:line="312" w:lineRule="auto"/>
      </w:pPr>
      <w:r>
        <w:rPr>
          <w:rFonts w:ascii="PingFang TC" w:hAnsi="PingFang TC"/>
          <w:color w:val="2D3748"/>
          <w:sz w:val="20"/>
        </w:rPr>
        <w:t>3. 立約人若有轉讓、贈與或繼承房產時，承諾將本協議列為買賣點交附件，由受讓人簽署遵守，拘束繼受人。</w:t>
      </w:r>
    </w:p>
    <w:p>
      <w:pPr>
        <w:spacing w:after="120" w:line="312" w:lineRule="auto"/>
      </w:pPr>
      <w:r>
        <w:rPr>
          <w:rFonts w:ascii="PingFang TC" w:hAnsi="PingFang TC"/>
          <w:color w:val="2D3748"/>
          <w:sz w:val="20"/>
        </w:rPr>
        <w:t>立協議書人全體簽章：</w:t>
      </w:r>
    </w:p>
    <w:p>
      <w:pPr>
        <w:spacing w:after="120" w:line="312" w:lineRule="auto"/>
      </w:pPr>
      <w:r>
        <w:rPr>
          <w:rFonts w:ascii="PingFang TC" w:hAnsi="PingFang TC"/>
          <w:color w:val="2D3748"/>
          <w:sz w:val="20"/>
        </w:rPr>
        <w:t>龍社路 593 號 區權人：_______________（簽章）</w:t>
      </w:r>
    </w:p>
    <w:p>
      <w:pPr>
        <w:spacing w:after="120" w:line="312" w:lineRule="auto"/>
      </w:pPr>
      <w:r>
        <w:rPr>
          <w:rFonts w:ascii="PingFang TC" w:hAnsi="PingFang TC"/>
          <w:color w:val="2D3748"/>
          <w:sz w:val="20"/>
        </w:rPr>
        <w:t>龍社路 595 號 區權人：_______________（簽章）</w:t>
      </w:r>
    </w:p>
    <w:p>
      <w:pPr>
        <w:spacing w:after="120" w:line="312" w:lineRule="auto"/>
      </w:pPr>
      <w:r>
        <w:rPr>
          <w:rFonts w:ascii="PingFang TC" w:hAnsi="PingFang TC"/>
          <w:color w:val="2D3748"/>
          <w:sz w:val="20"/>
        </w:rPr>
        <w:t>龍社路 597 號 區權人：_______________（簽章）</w:t>
      </w:r>
    </w:p>
    <w:p>
      <w:pPr>
        <w:spacing w:after="120" w:line="312" w:lineRule="auto"/>
      </w:pPr>
      <w:r>
        <w:rPr>
          <w:rFonts w:ascii="PingFang TC" w:hAnsi="PingFang TC"/>
          <w:color w:val="2D3748"/>
          <w:sz w:val="20"/>
        </w:rPr>
        <w:t>龍社路 599 號 區權人：_______________（簽章）</w:t>
      </w:r>
    </w:p>
    <w:p>
      <w:pPr>
        <w:spacing w:after="120" w:line="312" w:lineRule="auto"/>
      </w:pPr>
      <w:r>
        <w:rPr>
          <w:rFonts w:ascii="PingFang TC" w:hAnsi="PingFang TC"/>
          <w:color w:val="2D3748"/>
          <w:sz w:val="20"/>
        </w:rPr>
        <w:t>龍社路 601 號 區權人：_______________（簽章）</w:t>
      </w:r>
    </w:p>
    <w:p>
      <w:pPr>
        <w:spacing w:after="120" w:line="312" w:lineRule="auto"/>
      </w:pPr>
      <w:r>
        <w:rPr>
          <w:rFonts w:ascii="PingFang TC" w:hAnsi="PingFang TC"/>
          <w:color w:val="2D3748"/>
          <w:sz w:val="20"/>
        </w:rPr>
        <w:t>龍社路 603 號 區權人：_______________（簽章）</w:t>
      </w:r>
    </w:p>
    <w:p>
      <w:pPr>
        <w:spacing w:after="120" w:line="312" w:lineRule="auto"/>
      </w:pPr>
      <w:r>
        <w:rPr>
          <w:rFonts w:ascii="PingFang TC" w:hAnsi="PingFang TC"/>
          <w:color w:val="2D3748"/>
          <w:sz w:val="20"/>
        </w:rPr>
        <w:t>中華民國 115 年【待查證】月【待查證】日</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