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PingFang TC" w:hAnsi="PingFang TC"/>
          <w:b/>
          <w:color w:val="A83212"/>
          <w:sz w:val="36"/>
        </w:rPr>
        <w:t>富宇大境（A2 區）資產結算事實說明與款項計算書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# 富宇大境（A2 區）獨立分流資產結算事實說明與款項計算書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編製單位：富宇大境 A2 區全體 6 戶區分所有權人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編製日期：中華民國 115 年【待查證】月【待查證】日</w:t>
      </w:r>
    </w:p>
    <w:p>
      <w:pPr>
        <w:spacing w:before="240" w:after="120"/>
      </w:pPr>
      <w:r>
        <w:rPr>
          <w:rFonts w:ascii="PingFang TC" w:hAnsi="PingFang TC"/>
          <w:b/>
          <w:color w:val="DE5814"/>
          <w:sz w:val="26"/>
        </w:rPr>
        <w:t>一、專案資產基礎事實（客觀基準數：280,231 元）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2D3748"/>
          </w:tcPr>
          <w:p>
            <w:r>
              <w:rPr>
                <w:b/>
                <w:color w:val="FFFFFF"/>
                <w:sz w:val="19"/>
              </w:rPr>
              <w:t>項目名稱</w:t>
            </w:r>
          </w:p>
        </w:tc>
        <w:tc>
          <w:tcPr>
            <w:tcW w:type="dxa" w:w="3202"/>
            <w:shd w:fill="2D3748"/>
          </w:tcPr>
          <w:p>
            <w:r>
              <w:rPr>
                <w:b/>
                <w:color w:val="FFFFFF"/>
                <w:sz w:val="19"/>
              </w:rPr>
              <w:t>核定本金</w:t>
            </w:r>
          </w:p>
        </w:tc>
        <w:tc>
          <w:tcPr>
            <w:tcW w:type="dxa" w:w="3202"/>
            <w:shd w:fill="2D3748"/>
          </w:tcPr>
          <w:p>
            <w:r>
              <w:rPr>
                <w:b/>
                <w:color w:val="FFFFFF"/>
                <w:sz w:val="19"/>
              </w:rPr>
              <w:t>法令定性與財務憑據</w:t>
            </w:r>
          </w:p>
        </w:tc>
      </w:tr>
      <w:tr>
        <w:tc>
          <w:tcPr>
            <w:tcW w:type="dxa" w:w="3202"/>
            <w:shd w:fill="F8FAFC"/>
          </w:tcPr>
          <w:p>
            <w:r>
              <w:rPr>
                <w:color w:val="2D3748"/>
                <w:sz w:val="18"/>
              </w:rPr>
              <w:t>新光銀行 A2 大境定存單（第 2 筆）</w:t>
            </w:r>
          </w:p>
        </w:tc>
        <w:tc>
          <w:tcPr>
            <w:tcW w:type="dxa" w:w="3202"/>
            <w:shd w:fill="F8FAFC"/>
          </w:tcPr>
          <w:p>
            <w:r>
              <w:rPr>
                <w:color w:val="2D3748"/>
                <w:sz w:val="18"/>
              </w:rPr>
              <w:t>NT$ 220,231 元</w:t>
            </w:r>
          </w:p>
        </w:tc>
        <w:tc>
          <w:tcPr>
            <w:tcW w:type="dxa" w:w="3202"/>
            <w:shd w:fill="F8FAFC"/>
          </w:tcPr>
          <w:p>
            <w:r>
              <w:rPr>
                <w:color w:val="2D3748"/>
                <w:sz w:val="18"/>
              </w:rPr>
              <w:t>富宇大地管委會 115 年 5 月例會決議及 9 月財報專單保管之市府核退公款，孳息【待查證】。</w:t>
            </w:r>
          </w:p>
        </w:tc>
      </w:tr>
      <w:tr>
        <w:tc>
          <w:tcPr>
            <w:tcW w:type="dxa" w:w="3202"/>
          </w:tcPr>
          <w:p>
            <w:r>
              <w:rPr>
                <w:color w:val="2D3748"/>
                <w:sz w:val="18"/>
              </w:rPr>
              <w:t>起造人富宇建設交屋管理基金</w:t>
            </w:r>
          </w:p>
        </w:tc>
        <w:tc>
          <w:tcPr>
            <w:tcW w:type="dxa" w:w="3202"/>
          </w:tcPr>
          <w:p>
            <w:r>
              <w:rPr>
                <w:color w:val="2D3748"/>
                <w:sz w:val="18"/>
              </w:rPr>
              <w:t>NT$ 60,000 元</w:t>
            </w:r>
          </w:p>
        </w:tc>
        <w:tc>
          <w:tcPr>
            <w:tcW w:type="dxa" w:w="3202"/>
          </w:tcPr>
          <w:p>
            <w:r>
              <w:rPr>
                <w:color w:val="2D3748"/>
                <w:sz w:val="18"/>
              </w:rPr>
              <w:t>原始交屋時起造人按戶提撥之準備金（每戶 10,000 元 × 6 戶 ＝ 60,000 元）。</w:t>
            </w:r>
          </w:p>
        </w:tc>
      </w:tr>
      <w:tr>
        <w:tc>
          <w:tcPr>
            <w:tcW w:type="dxa" w:w="3202"/>
            <w:shd w:fill="F8FAFC"/>
          </w:tcPr>
          <w:p>
            <w:r>
              <w:rPr>
                <w:color w:val="2D3748"/>
                <w:sz w:val="18"/>
              </w:rPr>
              <w:t>專案資產本金總額</w:t>
            </w:r>
          </w:p>
        </w:tc>
        <w:tc>
          <w:tcPr>
            <w:tcW w:type="dxa" w:w="3202"/>
            <w:shd w:fill="F8FAFC"/>
          </w:tcPr>
          <w:p>
            <w:r>
              <w:rPr>
                <w:color w:val="2D3748"/>
                <w:sz w:val="18"/>
              </w:rPr>
              <w:t>NT$ 280,231 元</w:t>
            </w:r>
          </w:p>
        </w:tc>
        <w:tc>
          <w:tcPr>
            <w:tcW w:type="dxa" w:w="3202"/>
            <w:shd w:fill="F8FAFC"/>
          </w:tcPr>
          <w:p>
            <w:r>
              <w:rPr>
                <w:color w:val="2D3748"/>
                <w:sz w:val="18"/>
              </w:rPr>
              <w:t>未計法定孳息。原始卷宗誤植之 284,731 元全數作廢。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PingFang TC" w:hAnsi="PingFang TC"/>
          <w:b/>
          <w:color w:val="DE5814"/>
          <w:sz w:val="26"/>
        </w:rPr>
        <w:t>二、相對人（管委會）可能主張之扣抵抗辯與防禦策略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1. 抗辯一：個別住戶管理費欠繳抵銷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- 管委會主張：若 A2 有住戶欠繳管理費，應自返還基金中扣抵。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- 法律防禦：依《條例》第 21 條，催繳管理費係個別區權人之債權債務關係，管委會應循督促程序催繳，不得自全體共有之公用基金中作不當聯結扣抵。但為求和解，若有確定欠費戶，得協議由該戶分得之利益額度限額抵充。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2. 抗辯二：外包物業保全清潔合約過渡期分攤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- 管委會主張：大社區已簽訂全年度保全與清潔合約（以 241 戶編列），若 A2 退出，將產生合約未滿之空缺分攤損失（預估數萬元）。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- 法律防禦：A2 自始未要求保全越區巡邏且垃圾自理，大社區物業並未對 A2 提供實質勞務；合約亦得依戶數變動調整。然考量契約過渡期，A2 可同意負擔適度之「過渡行政分攤補貼」以促成和解。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3. 抗辯三：合併期間（115/5/14 至今）行政維護管理公攤費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- 管委會主張：自合併登記起至大會決議變更日止，A2 仍具會員身分，應分攤總體行政公攤成本。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- 法律防禦：A2 未享受任何內部公共水電，但形式上確實共享大社區行政報備資源。A2 同意核實按合理行政成本比例進行逐月扣抵結算。</w:t>
      </w:r>
    </w:p>
    <w:p>
      <w:pPr>
        <w:spacing w:before="240" w:after="120"/>
      </w:pPr>
      <w:r>
        <w:rPr>
          <w:rFonts w:ascii="PingFang TC" w:hAnsi="PingFang TC"/>
          <w:b/>
          <w:color w:val="DE5814"/>
          <w:sz w:val="26"/>
        </w:rPr>
        <w:t>三、談判底線與和解方案區間設計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