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pPr>
      <w:r>
        <w:rPr>
          <w:rFonts w:ascii="PingFang TC" w:hAnsi="PingFang TC"/>
          <w:b/>
          <w:color w:val="A83212"/>
          <w:sz w:val="36"/>
        </w:rPr>
        <w:t>富宇大地區分所有權人會議提案草案（規約變更案）</w:t>
      </w:r>
    </w:p>
    <w:p>
      <w:pPr>
        <w:spacing w:after="120" w:line="312" w:lineRule="auto"/>
      </w:pPr>
      <w:r>
        <w:rPr>
          <w:rFonts w:ascii="PingFang TC" w:hAnsi="PingFang TC"/>
          <w:color w:val="2D3748"/>
          <w:sz w:val="20"/>
        </w:rPr>
        <w:t># 富宇大地社區區分所有權人會議議案提案表（規約變更案）</w:t>
      </w:r>
    </w:p>
    <w:p>
      <w:pPr>
        <w:spacing w:after="120" w:line="312" w:lineRule="auto"/>
      </w:pPr>
      <w:r>
        <w:rPr>
          <w:rFonts w:ascii="PingFang TC" w:hAnsi="PingFang TC"/>
          <w:color w:val="2D3748"/>
          <w:sz w:val="20"/>
        </w:rPr>
        <w:t>案由：</w:t>
      </w:r>
    </w:p>
    <w:p>
      <w:pPr>
        <w:spacing w:after="120" w:line="312" w:lineRule="auto"/>
      </w:pPr>
      <w:r>
        <w:rPr>
          <w:rFonts w:ascii="PingFang TC" w:hAnsi="PingFang TC"/>
          <w:color w:val="2D3748"/>
          <w:sz w:val="20"/>
        </w:rPr>
        <w:t>審議「富宇大地社區規約第二條管理範圍修正案（排除沙鹿區龍社路 593 至 603 號共 6 戶，管理規模由 241 戶調整為 235 戶）」暨專案資產結算移交事宜。</w:t>
      </w:r>
    </w:p>
    <w:p>
      <w:pPr>
        <w:spacing w:after="120" w:line="312" w:lineRule="auto"/>
      </w:pPr>
      <w:r>
        <w:rPr>
          <w:rFonts w:ascii="PingFang TC" w:hAnsi="PingFang TC"/>
          <w:color w:val="2D3748"/>
          <w:sz w:val="20"/>
        </w:rPr>
        <w:t>說明：</w:t>
      </w:r>
    </w:p>
    <w:p>
      <w:pPr>
        <w:spacing w:after="120" w:line="312" w:lineRule="auto"/>
      </w:pPr>
      <w:r>
        <w:rPr>
          <w:rFonts w:ascii="PingFang TC" w:hAnsi="PingFang TC"/>
          <w:color w:val="2D3748"/>
          <w:sz w:val="20"/>
        </w:rPr>
        <w:t>一、法令依據與現況體檢：</w:t>
      </w:r>
    </w:p>
    <w:p>
      <w:pPr>
        <w:spacing w:after="120" w:line="312" w:lineRule="auto"/>
      </w:pPr>
      <w:r>
        <w:rPr>
          <w:rFonts w:ascii="PingFang TC" w:hAnsi="PingFang TC"/>
          <w:color w:val="2D3748"/>
          <w:sz w:val="20"/>
        </w:rPr>
        <w:t>按《公寓大廈管理條例》第 53 條規定，數建築物集居地區其管理準用本條例之核心前提，在於「共同設施之使用與管理具有整體不可分性」。查坐落於沙鹿區龍社路 593 至 603 號之透天別墅 6 戶（A2 區），位處基地最外緣，直接面臨公有計畫道路龍社路，出入交通直接銜接市區幹道，未使用內部 642 巷等內部封閉巷道；水電管線與生活排污皆獨立直通市府幹管；日常生活垃圾更於門前等候環保局清潔隊清運，物理設施與生活機能自始具備百分之百獨立性，確實欠缺整體不可分性。</w:t>
      </w:r>
    </w:p>
    <w:p>
      <w:pPr>
        <w:spacing w:after="120" w:line="312" w:lineRule="auto"/>
      </w:pPr>
      <w:r>
        <w:rPr>
          <w:rFonts w:ascii="PingFang TC" w:hAnsi="PingFang TC"/>
          <w:color w:val="2D3748"/>
          <w:sz w:val="20"/>
        </w:rPr>
        <w:t>二、規約條文對照修正表：</w:t>
      </w:r>
    </w:p>
    <w:tbl>
      <w:tblPr>
        <w:tblW w:type="auto" w:w="0"/>
        <w:jc w:val="center"/>
        <w:tblLook w:firstColumn="1" w:firstRow="1" w:lastColumn="0" w:lastRow="0" w:noHBand="0" w:noVBand="1" w:val="04A0"/>
      </w:tblPr>
      <w:tblGrid>
        <w:gridCol w:w="4802"/>
        <w:gridCol w:w="4802"/>
      </w:tblGrid>
      <w:tr>
        <w:tc>
          <w:tcPr>
            <w:tcW w:type="dxa" w:w="4802"/>
            <w:shd w:fill="2D3748"/>
          </w:tcPr>
          <w:p>
            <w:r>
              <w:rPr>
                <w:b/>
                <w:color w:val="FFFFFF"/>
                <w:sz w:val="19"/>
              </w:rPr>
              <w:t>現行富宇大地規約條文</w:t>
            </w:r>
          </w:p>
        </w:tc>
        <w:tc>
          <w:tcPr>
            <w:tcW w:type="dxa" w:w="4802"/>
            <w:shd w:fill="2D3748"/>
          </w:tcPr>
          <w:p>
            <w:r>
              <w:rPr>
                <w:b/>
                <w:color w:val="FFFFFF"/>
                <w:sz w:val="19"/>
              </w:rPr>
              <w:t>修正後富宇大地規約條文草案</w:t>
            </w:r>
          </w:p>
        </w:tc>
      </w:tr>
      <w:tr>
        <w:tc>
          <w:tcPr>
            <w:tcW w:type="dxa" w:w="4802"/>
            <w:shd w:fill="F8FAFC"/>
          </w:tcPr>
          <w:p>
            <w:r>
              <w:rPr>
                <w:color w:val="2D3748"/>
                <w:sz w:val="18"/>
              </w:rPr>
              <w:t>第二條（本公寓大廈之法定範圍）</w:t>
              <w:br/>
              <w:t>本公寓大廈管理之範圍包括基地、建築物共用部分、約定共用部分及附屬公共設施。</w:t>
              <w:br/>
              <w:t>本社區共計 241 戶，涵蓋大境、上境、悠境、澄境等各棟別區分所有權範圍（詳如建物配置清冊及報備清冊）。</w:t>
            </w:r>
          </w:p>
        </w:tc>
        <w:tc>
          <w:tcPr>
            <w:tcW w:type="dxa" w:w="4802"/>
            <w:shd w:fill="F8FAFC"/>
          </w:tcPr>
          <w:p>
            <w:r>
              <w:rPr>
                <w:color w:val="2D3748"/>
                <w:sz w:val="18"/>
              </w:rPr>
              <w:t>第二條（本公寓大廈之法定範圍）</w:t>
              <w:br/>
              <w:t>本公寓大廈管理之範圍包括基地、建築物共用部分、約定共用部分及附屬公共設施。</w:t>
              <w:br/>
              <w:t>本社區共計 235 戶，涵蓋上境、悠境、澄境等棟別區分所有權範圍。</w:t>
              <w:br/>
              <w:t>坐落於臺中市沙鹿區龍社路 593、595、597、599、601、603 號共 6 戶透天別墅（原稱 A2 區），因共同設施與出入交通均具實質獨立性，自中華民國 115 年【待查】月【待查】日起正式排除於本規約管理範圍之外，其門前設施由各該住戶自律維護管理，不適用本規約之權利義務。</w:t>
            </w:r>
          </w:p>
        </w:tc>
      </w:tr>
    </w:tbl>
    <w:p>
      <w:pPr>
        <w:spacing w:after="120"/>
      </w:pPr>
    </w:p>
    <w:p>
      <w:pPr>
        <w:spacing w:after="120" w:line="312" w:lineRule="auto"/>
      </w:pPr>
      <w:r>
        <w:rPr>
          <w:rFonts w:ascii="PingFang TC" w:hAnsi="PingFang TC"/>
          <w:color w:val="2D3748"/>
          <w:sz w:val="20"/>
        </w:rPr>
        <w:t>三、大會決議門檻法令說明（特別決議與重新召集程序）：</w:t>
      </w:r>
    </w:p>
    <w:p>
      <w:pPr>
        <w:spacing w:after="120" w:line="312" w:lineRule="auto"/>
      </w:pPr>
      <w:r>
        <w:rPr>
          <w:rFonts w:ascii="PingFang TC" w:hAnsi="PingFang TC"/>
          <w:color w:val="2D3748"/>
          <w:sz w:val="20"/>
        </w:rPr>
        <w:t>- 首次大會特別決議（第 31 條）：應有區權人 2/3 以上出席（至少 161 戶），以出席人數 3/4 以上同意（若 161 戶出席則需 121 戶同意）行之。</w:t>
      </w:r>
    </w:p>
    <w:p>
      <w:pPr>
        <w:spacing w:after="120" w:line="312" w:lineRule="auto"/>
      </w:pPr>
      <w:r>
        <w:rPr>
          <w:rFonts w:ascii="PingFang TC" w:hAnsi="PingFang TC"/>
          <w:color w:val="2D3748"/>
          <w:sz w:val="20"/>
        </w:rPr>
        <w:t>- 重新召集假決議（第 32 條第 1 項）：未獲決議重新召集時，應有區權人 1/5 以上出席（僅需 49 戶），出席過半數同意（如 25 戶同意）即可作成假決議。</w:t>
      </w:r>
    </w:p>
    <w:p>
      <w:pPr>
        <w:spacing w:after="120" w:line="312" w:lineRule="auto"/>
      </w:pPr>
      <w:r>
        <w:rPr>
          <w:rFonts w:ascii="PingFang TC" w:hAnsi="PingFang TC"/>
          <w:color w:val="2D3748"/>
          <w:sz w:val="20"/>
        </w:rPr>
        <w:t>- 書面反對審查（第 32 條第 2 項）：決議紀錄送達各區權人後，7 日內書面反對未達全體半數（未達 121 戶反對）時，該決議即正式視為獲致決議生效！</w:t>
      </w:r>
    </w:p>
    <w:p>
      <w:pPr>
        <w:spacing w:after="120" w:line="312" w:lineRule="auto"/>
      </w:pPr>
      <w:r>
        <w:rPr>
          <w:rFonts w:ascii="PingFang TC" w:hAnsi="PingFang TC"/>
          <w:color w:val="2D3748"/>
          <w:sz w:val="20"/>
        </w:rPr>
        <w:t>辦法：</w:t>
      </w:r>
    </w:p>
    <w:p>
      <w:pPr>
        <w:spacing w:after="120" w:line="312" w:lineRule="auto"/>
      </w:pPr>
      <w:r>
        <w:rPr>
          <w:rFonts w:ascii="PingFang TC" w:hAnsi="PingFang TC"/>
          <w:color w:val="2D3748"/>
          <w:sz w:val="20"/>
        </w:rPr>
        <w:t>大會通過後，授權管委會檢具會議紀錄與新版規約向主管機關區公所申辦變更報備，並將結算後之專案定存本息移交至 A2 雙人簽章共管專戶。</w:t>
      </w:r>
    </w:p>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