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PingFang TC" w:hAnsi="PingFang TC"/>
          <w:b/>
          <w:color w:val="A83212"/>
          <w:sz w:val="36"/>
        </w:rPr>
        <w:t>富宇大境（A2 區）管理範圍權責優化公開說明（理性中性版）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# 富宇大境（A2 區）管理範圍權責優化方案公開說明（理性中性版）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親愛的富宇大地社區鄰里先進：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我們是坐落於龍社路 593 至 603 號（A2 區）的 6 戶透天住戶。富宇大地於民國 115 年 5 月完成多區合併報備以來，管委會為照顧跨區廣大住戶付出了莫大心力。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考量本區 6 戶位處整體基地最外緣，直接面臨公有計畫道路龍社路，出入交通直接銜接市區幹道，未使用內部封閉巷道；水電管線與排污皆各自獨立；日常生活垃圾亦長年在門前等候市府公有清潔隊清運，並未享有內部收費子母車與封閉公設資源。為了讓社區資源配置更加合理、降低管委會外側巡查之民事責任，我們本於《公寓大廈管理條例》第 53 條的精神，誠意向管委會提出「管理範圍調整」之溝通提案：</w:t>
      </w:r>
    </w:p>
    <w:p>
      <w:pPr>
        <w:spacing w:before="200" w:after="80"/>
      </w:pPr>
      <w:r>
        <w:rPr>
          <w:rFonts w:ascii="PingFang TC" w:hAnsi="PingFang TC"/>
          <w:b/>
          <w:color w:val="D97706"/>
          <w:sz w:val="24"/>
        </w:rPr>
        <w:t>💡 本方案為全體 235 戶鄰居帶來的實質效益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1. 物業管理責任聚焦：免除管委會保全跨越公有道路龍社路巡查外側透天的負擔，管理動線徹底收斂於封閉社區內部。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2. 公設資源完整回饋：A2 住戶簽署正式切結書，永久放棄使用內部垃圾子母車，內部子母車容量 100% 完整保留供內部 235 戶使用。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3. 大社區基金零衝擊：A2 專款原本即由管委會於新光銀行單獨開立專單定存保管，移交純屬專款專案結算，大社區既有數百萬營運老本毫髮無傷。</w:t>
      </w:r>
    </w:p>
    <w:p>
      <w:pPr>
        <w:spacing w:before="200" w:after="80"/>
      </w:pPr>
      <w:r>
        <w:rPr>
          <w:rFonts w:ascii="PingFang TC" w:hAnsi="PingFang TC"/>
          <w:b/>
          <w:color w:val="D97706"/>
          <w:sz w:val="24"/>
        </w:rPr>
        <w:t>📋 依法推動之正規法律程序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本案絕非住戶單方片面主張，我們完全遵循法令制度推動：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【住戶共識連署】 ➔ 【向市府調處委員會申請協商】 ➔ 【協助排入區分所有權人會議特別決議】 ➔ 【主管機關完成變更報備】 ➔ 【專款專戶移交】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本區於完成變更後，將回歸一般獨立透天之自律生活，不另成立管委會，相關款項將存入 6 戶共同設立之專款共管專戶，專門用於門前公共路燈照明等必要維護。我們期待在充分溝通、理性依法、互利雙贏的基礎上，與管委會及全體鄰居共同促成社區管理體質的良性優化！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