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PingFang TC" w:hAnsi="PingFang TC"/>
          <w:b/>
          <w:color w:val="A83212"/>
          <w:sz w:val="36"/>
        </w:rPr>
        <w:t>全卷法規、金額、去向與事實記載一致性檢查表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