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B8860B"/>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項及第 31 條規定辦理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shd w:fill="1A1D20"/>
            <w:shd w:fill="1A1D20"/>
          </w:tcPr>
          <w:p>
            <w:r>
              <w:rPr>
                <w:rFonts w:ascii="PingFang TC" w:hAnsi="PingFang TC"/>
                <w:b/>
                <w:color w:val="D4AF37"/>
                <w:sz w:val="18"/>
              </w:rPr>
              <w:t>受 文 者</w:t>
            </w:r>
          </w:p>
        </w:tc>
        <w:tc>
          <w:tcPr>
            <w:tcW w:type="dxa" w:w="7824"/>
            <w:shd w:fill="FFFFFF"/>
            <w:tcMar>
              <w:top w:w="70" w:type="dxa"/>
              <w:bottom w:w="70" w:type="dxa"/>
              <w:left w:w="110" w:type="dxa"/>
              <w:right w:w="110" w:type="dxa"/>
            </w:tcMar>
            <w:shd w:fill="1A1D20"/>
            <w:shd w:fill="1A1D20"/>
          </w:tcPr>
          <w:p>
            <w:r>
              <w:rPr>
                <w:rFonts w:ascii="PingFang TC" w:hAnsi="PingFang TC"/>
                <w:b/>
                <w:color w:val="D4AF37"/>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shd w:fill="FFFDF5"/>
            <w:shd w:fill="FFFDF5"/>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shd w:fill="FFFDF5"/>
            <w:shd w:fill="FFFDF5"/>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shd w:fill="FAF8F2"/>
            <w:shd w:fill="FAF8F2"/>
          </w:tcPr>
          <w:p>
            <w:r>
              <w:rPr>
                <w:rFonts w:ascii="PingFang TC" w:hAnsi="PingFang TC"/>
                <w:b/>
                <w:color w:val="A83212"/>
                <w:sz w:val="18"/>
              </w:rPr>
              <w:t>法 令 依 據</w:t>
            </w:r>
          </w:p>
        </w:tc>
        <w:tc>
          <w:tcPr>
            <w:tcW w:type="dxa" w:w="7824"/>
            <w:shd w:fill="FFFFFF"/>
            <w:tcMar>
              <w:top w:w="70" w:type="dxa"/>
              <w:bottom w:w="70" w:type="dxa"/>
              <w:left w:w="110" w:type="dxa"/>
              <w:right w:w="110" w:type="dxa"/>
            </w:tcMar>
            <w:shd w:fill="FAF8F2"/>
            <w:shd w:fill="FAF8F2"/>
          </w:tcPr>
          <w:p>
            <w:r>
              <w:rPr>
                <w:rFonts w:ascii="PingFang TC" w:hAnsi="PingFang TC"/>
                <w:color w:val="2D3748"/>
                <w:sz w:val="18"/>
              </w:rPr>
              <w:t>《公寓大廈管理條例》第 26 條第 1 項（得獨立使用分別成立管委會）及第 31 條</w:t>
            </w:r>
          </w:p>
        </w:tc>
      </w:tr>
      <w:tr>
        <w:tc>
          <w:tcPr>
            <w:tcW w:type="dxa" w:w="1814"/>
            <w:shd w:fill="FFFBEB"/>
            <w:tcMar>
              <w:top w:w="70" w:type="dxa"/>
              <w:bottom w:w="70" w:type="dxa"/>
              <w:left w:w="110" w:type="dxa"/>
              <w:right w:w="110" w:type="dxa"/>
            </w:tcMar>
            <w:shd w:fill="FFFDF5"/>
            <w:shd w:fill="FFFDF5"/>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shd w:fill="FFFDF5"/>
            <w:shd w:fill="FFFDF5"/>
          </w:tcPr>
          <w:p>
            <w:r>
              <w:rPr>
                <w:rFonts w:ascii="PingFang TC" w:hAnsi="PingFang TC"/>
                <w:color w:val="2D3748"/>
                <w:sz w:val="18"/>
              </w:rPr>
              <w:t>廖倫豪 先生（由全體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shd w:fill="1A1D20"/>
          </w:tcPr>
          <w:p>
            <w:pPr>
              <w:spacing w:line="312" w:lineRule="auto"/>
            </w:pPr>
            <w:r>
              <w:rPr>
                <w:rFonts w:ascii="PingFang TC" w:hAnsi="PingFang TC"/>
                <w:b/>
                <w:color w:val="D4AF37"/>
                <w:sz w:val="21"/>
              </w:rPr>
              <w:t>【主旨】</w:t>
              <w:br/>
            </w:r>
            <w:r>
              <w:rPr>
                <w:rFonts w:ascii="PingFang TC" w:hAnsi="PingFang TC"/>
                <w:b/>
                <w:color w:val="D4AF37"/>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項規定，正式提請審議本區「依法自富宇大地社區管理委員會獨立分割、成立富宇大境管理委員會及辦理專案資產移交清算案」，並請列入下次管理委員會例行會議審議及排入下次區分所有權人會議正式決議，請 查照。</w:t>
            </w:r>
          </w:p>
        </w:tc>
      </w:tr>
    </w:tbl>
    <w:p/>
    <w:p>
      <w:pPr>
        <w:spacing w:before="120" w:after="80"/>
      </w:pPr>
      <w:r>
        <w:rPr>
          <w:rFonts w:ascii="PingFang TC" w:hAnsi="PingFang TC"/>
          <w:b/>
          <w:color w:val="B8860B"/>
          <w:sz w:val="22"/>
        </w:rPr>
        <w:t>【說明】</w:t>
      </w:r>
    </w:p>
    <w:p>
      <w:pPr>
        <w:spacing w:line="312" w:lineRule="auto" w:before="40" w:after="80"/>
      </w:pPr>
      <w:r>
        <w:rPr>
          <w:rFonts w:ascii="PingFang TC" w:hAnsi="PingFang TC"/>
          <w:b/>
          <w:color w:val="D4AF37"/>
          <w:sz w:val="19"/>
        </w:rPr>
        <w:t>一、法定獨立要件充分且明確：</w:t>
      </w:r>
      <w:r>
        <w:rPr>
          <w:rFonts w:ascii="PingFang TC" w:hAnsi="PingFang TC"/>
          <w:color w:val="2D3748"/>
          <w:sz w:val="18"/>
        </w:rPr>
        <w:t>按《公寓大廈管理條例》第 26 條第 1 項明定：「多數各自獨立使用之建築物、公寓大廈……如各該區得獨立使用且能分別成立管理委員會者，得經各該區區分所有權人會議決議後，分別成立管理委員會。」本區（A2 大境共 6 戶透天別墅，門牌為台中市沙鹿區龍社路 593、595、597、599、601、603 號）之基地臨接公有計畫道路龍社路，出入交通完全獨立，絕不途經富宇大地內部私設巷道（如 642 巷等），符合得各自獨立使用之法定要件。</w:t>
      </w:r>
    </w:p>
    <w:p>
      <w:pPr>
        <w:spacing w:line="312" w:lineRule="auto" w:before="40" w:after="80"/>
      </w:pPr>
      <w:r>
        <w:rPr>
          <w:rFonts w:ascii="PingFang TC" w:hAnsi="PingFang TC"/>
          <w:b/>
          <w:color w:val="D4AF37"/>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4AF37"/>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B8860B"/>
          <w:sz w:val="22"/>
        </w:rPr>
        <w:t>【辦法】</w:t>
      </w:r>
    </w:p>
    <w:p>
      <w:pPr>
        <w:spacing w:line="312" w:lineRule="auto" w:before="40" w:after="80"/>
      </w:pPr>
      <w:r>
        <w:rPr>
          <w:rFonts w:ascii="PingFang TC" w:hAnsi="PingFang TC"/>
          <w:b/>
          <w:color w:val="D4AF37"/>
          <w:sz w:val="19"/>
        </w:rPr>
        <w:t>一、提案審議排案：</w:t>
      </w:r>
      <w:r>
        <w:rPr>
          <w:rFonts w:ascii="PingFang TC" w:hAnsi="PingFang TC"/>
          <w:color w:val="2D3748"/>
          <w:sz w:val="18"/>
        </w:rPr>
        <w:t>請富宇大地社區管理委員會於收受本申請書後，依權責列入最近一次管委會例行會議審議，並排入下次「六區全體區分所有權人會議」正式投票表決。</w:t>
      </w:r>
    </w:p>
    <w:p>
      <w:pPr>
        <w:spacing w:line="312" w:lineRule="auto" w:before="40" w:after="80"/>
      </w:pPr>
      <w:r>
        <w:rPr>
          <w:rFonts w:ascii="PingFang TC" w:hAnsi="PingFang TC"/>
          <w:b/>
          <w:color w:val="D4AF37"/>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4AF37"/>
          <w:sz w:val="19"/>
        </w:rPr>
        <w:t>三、報備變更協力：</w:t>
      </w:r>
      <w:r>
        <w:rPr>
          <w:rFonts w:ascii="PingFang TC" w:hAnsi="PingFang TC"/>
          <w:color w:val="2D3748"/>
          <w:sz w:val="18"/>
        </w:rPr>
        <w:t>經大會決議通過後，雙方備齊會議記錄與修訂後規約，共同向主管機關（台中市龍井區公所）辦理報備戶數變更與富宇大境獨立管委會成立備查。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shd w:fill="1A1D20"/>
            <w:shd w:fill="1A1D20"/>
          </w:tcPr>
          <w:p>
            <w:r>
              <w:rPr>
                <w:rFonts w:ascii="PingFang TC" w:hAnsi="PingFang TC"/>
                <w:b/>
                <w:color w:val="D4AF37"/>
                <w:sz w:val="18"/>
              </w:rPr>
              <w:t>戶號門牌</w:t>
            </w:r>
          </w:p>
        </w:tc>
        <w:tc>
          <w:tcPr>
            <w:tcW w:type="dxa" w:w="1474"/>
            <w:shd w:fill="2D3748"/>
            <w:tcMar>
              <w:top w:w="100" w:type="dxa"/>
              <w:bottom w:w="100" w:type="dxa"/>
              <w:left w:w="80" w:type="dxa"/>
              <w:right w:w="80" w:type="dxa"/>
            </w:tcMar>
            <w:shd w:fill="1A1D20"/>
            <w:shd w:fill="1A1D20"/>
          </w:tcPr>
          <w:p>
            <w:r>
              <w:rPr>
                <w:rFonts w:ascii="PingFang TC" w:hAnsi="PingFang TC"/>
                <w:b/>
                <w:color w:val="D4AF37"/>
                <w:sz w:val="18"/>
              </w:rPr>
              <w:t>區權人姓名</w:t>
            </w:r>
          </w:p>
        </w:tc>
        <w:tc>
          <w:tcPr>
            <w:tcW w:type="dxa" w:w="1587"/>
            <w:shd w:fill="2D3748"/>
            <w:tcMar>
              <w:top w:w="100" w:type="dxa"/>
              <w:bottom w:w="100" w:type="dxa"/>
              <w:left w:w="80" w:type="dxa"/>
              <w:right w:w="80" w:type="dxa"/>
            </w:tcMar>
            <w:shd w:fill="1A1D20"/>
            <w:shd w:fill="1A1D20"/>
          </w:tcPr>
          <w:p>
            <w:r>
              <w:rPr>
                <w:rFonts w:ascii="PingFang TC" w:hAnsi="PingFang TC"/>
                <w:b/>
                <w:color w:val="D4AF37"/>
                <w:sz w:val="18"/>
              </w:rPr>
              <w:t>身分證字號</w:t>
            </w:r>
          </w:p>
        </w:tc>
        <w:tc>
          <w:tcPr>
            <w:tcW w:type="dxa" w:w="1587"/>
            <w:shd w:fill="2D3748"/>
            <w:tcMar>
              <w:top w:w="100" w:type="dxa"/>
              <w:bottom w:w="100" w:type="dxa"/>
              <w:left w:w="80" w:type="dxa"/>
              <w:right w:w="80" w:type="dxa"/>
            </w:tcMar>
            <w:shd w:fill="1A1D20"/>
            <w:shd w:fill="1A1D20"/>
          </w:tcPr>
          <w:p>
            <w:r>
              <w:rPr>
                <w:rFonts w:ascii="PingFang TC" w:hAnsi="PingFang TC"/>
                <w:b/>
                <w:color w:val="D4AF37"/>
                <w:sz w:val="18"/>
              </w:rPr>
              <w:t>聯絡電話</w:t>
            </w:r>
          </w:p>
        </w:tc>
        <w:tc>
          <w:tcPr>
            <w:tcW w:type="dxa" w:w="1701"/>
            <w:shd w:fill="2D3748"/>
            <w:tcMar>
              <w:top w:w="100" w:type="dxa"/>
              <w:bottom w:w="100" w:type="dxa"/>
              <w:left w:w="80" w:type="dxa"/>
              <w:right w:w="80" w:type="dxa"/>
            </w:tcMar>
            <w:shd w:fill="1A1D20"/>
            <w:shd w:fill="1A1D20"/>
          </w:tcPr>
          <w:p>
            <w:r>
              <w:rPr>
                <w:rFonts w:ascii="PingFang TC" w:hAnsi="PingFang TC"/>
                <w:b/>
                <w:color w:val="D4AF37"/>
                <w:sz w:val="18"/>
              </w:rPr>
              <w:t>親筆簽名</w:t>
            </w:r>
          </w:p>
        </w:tc>
        <w:tc>
          <w:tcPr>
            <w:tcW w:type="dxa" w:w="1587"/>
            <w:shd w:fill="2D3748"/>
            <w:tcMar>
              <w:top w:w="100" w:type="dxa"/>
              <w:bottom w:w="100" w:type="dxa"/>
              <w:left w:w="80" w:type="dxa"/>
              <w:right w:w="80" w:type="dxa"/>
            </w:tcMar>
            <w:shd w:fill="1A1D20"/>
            <w:shd w:fill="1A1D20"/>
          </w:tcPr>
          <w:p>
            <w:r>
              <w:rPr>
                <w:rFonts w:ascii="PingFang TC" w:hAnsi="PingFang TC"/>
                <w:b/>
                <w:color w:val="D4AF37"/>
                <w:sz w:val="18"/>
              </w:rPr>
              <w:t>印鑑蓋章 / 日期</w:t>
            </w:r>
          </w:p>
        </w:tc>
      </w:tr>
      <w:tr>
        <w:tc>
          <w:tcPr>
            <w:tcW w:type="dxa" w:w="1701"/>
            <w:shd w:fill="FFFBEB"/>
            <w:tcMar>
              <w:top w:w="140" w:type="dxa"/>
              <w:bottom w:w="140" w:type="dxa"/>
              <w:left w:w="80" w:type="dxa"/>
              <w:right w:w="80" w:type="dxa"/>
            </w:tcMar>
            <w:shd w:fill="FFFDF5"/>
            <w:shd w:fill="FFFDF5"/>
          </w:tcPr>
          <w:p>
            <w:r>
              <w:rPr>
                <w:rFonts w:ascii="PingFang TC" w:hAnsi="PingFang TC"/>
                <w:b/>
                <w:color w:val="A83212"/>
                <w:sz w:val="18"/>
              </w:rPr>
              <w:t>龍社路 593 號</w:t>
            </w:r>
          </w:p>
        </w:tc>
        <w:tc>
          <w:tcPr>
            <w:tcW w:type="dxa" w:w="1474"/>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701"/>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r>
      <w:tr>
        <w:tc>
          <w:tcPr>
            <w:tcW w:type="dxa" w:w="1701"/>
            <w:shd w:fill="FFFBEB"/>
            <w:tcMar>
              <w:top w:w="140" w:type="dxa"/>
              <w:bottom w:w="140" w:type="dxa"/>
              <w:left w:w="80" w:type="dxa"/>
              <w:right w:w="80" w:type="dxa"/>
            </w:tcMar>
            <w:shd w:fill="FAF8F2"/>
            <w:shd w:fill="FAF8F2"/>
          </w:tcPr>
          <w:p>
            <w:r>
              <w:rPr>
                <w:rFonts w:ascii="PingFang TC" w:hAnsi="PingFang TC"/>
                <w:b/>
                <w:color w:val="A83212"/>
                <w:sz w:val="18"/>
              </w:rPr>
              <w:t>龍社路 595 號</w:t>
            </w:r>
          </w:p>
        </w:tc>
        <w:tc>
          <w:tcPr>
            <w:tcW w:type="dxa" w:w="1474"/>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701"/>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r>
      <w:tr>
        <w:tc>
          <w:tcPr>
            <w:tcW w:type="dxa" w:w="1701"/>
            <w:shd w:fill="FFFBEB"/>
            <w:tcMar>
              <w:top w:w="140" w:type="dxa"/>
              <w:bottom w:w="140" w:type="dxa"/>
              <w:left w:w="80" w:type="dxa"/>
              <w:right w:w="80" w:type="dxa"/>
            </w:tcMar>
            <w:shd w:fill="FFFDF5"/>
            <w:shd w:fill="FFFDF5"/>
          </w:tcPr>
          <w:p>
            <w:r>
              <w:rPr>
                <w:rFonts w:ascii="PingFang TC" w:hAnsi="PingFang TC"/>
                <w:b/>
                <w:color w:val="A83212"/>
                <w:sz w:val="18"/>
              </w:rPr>
              <w:t>龍社路 597 號</w:t>
            </w:r>
          </w:p>
        </w:tc>
        <w:tc>
          <w:tcPr>
            <w:tcW w:type="dxa" w:w="1474"/>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701"/>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r>
      <w:tr>
        <w:tc>
          <w:tcPr>
            <w:tcW w:type="dxa" w:w="1701"/>
            <w:shd w:fill="FFFBEB"/>
            <w:tcMar>
              <w:top w:w="140" w:type="dxa"/>
              <w:bottom w:w="140" w:type="dxa"/>
              <w:left w:w="80" w:type="dxa"/>
              <w:right w:w="80" w:type="dxa"/>
            </w:tcMar>
            <w:shd w:fill="FAF8F2"/>
            <w:shd w:fill="FAF8F2"/>
          </w:tcPr>
          <w:p>
            <w:r>
              <w:rPr>
                <w:rFonts w:ascii="PingFang TC" w:hAnsi="PingFang TC"/>
                <w:b/>
                <w:color w:val="A83212"/>
                <w:sz w:val="18"/>
              </w:rPr>
              <w:t>龍社路 599 號</w:t>
            </w:r>
          </w:p>
        </w:tc>
        <w:tc>
          <w:tcPr>
            <w:tcW w:type="dxa" w:w="1474"/>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701"/>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r>
      <w:tr>
        <w:tc>
          <w:tcPr>
            <w:tcW w:type="dxa" w:w="1701"/>
            <w:shd w:fill="FFFBEB"/>
            <w:tcMar>
              <w:top w:w="140" w:type="dxa"/>
              <w:bottom w:w="140" w:type="dxa"/>
              <w:left w:w="80" w:type="dxa"/>
              <w:right w:w="80" w:type="dxa"/>
            </w:tcMar>
            <w:shd w:fill="FFFDF5"/>
            <w:shd w:fill="FFFDF5"/>
          </w:tcPr>
          <w:p>
            <w:r>
              <w:rPr>
                <w:rFonts w:ascii="PingFang TC" w:hAnsi="PingFang TC"/>
                <w:b/>
                <w:color w:val="A83212"/>
                <w:sz w:val="18"/>
              </w:rPr>
              <w:t>龍社路 601 號</w:t>
            </w:r>
          </w:p>
        </w:tc>
        <w:tc>
          <w:tcPr>
            <w:tcW w:type="dxa" w:w="1474"/>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c>
          <w:tcPr>
            <w:tcW w:type="dxa" w:w="1701"/>
            <w:shd w:fill="FFFFFF"/>
            <w:tcMar>
              <w:top w:w="140" w:type="dxa"/>
              <w:bottom w:w="140" w:type="dxa"/>
              <w:left w:w="80" w:type="dxa"/>
              <w:right w:w="80" w:type="dxa"/>
            </w:tcMar>
            <w:shd w:fill="FFFDF5"/>
            <w:shd w:fill="FFFDF5"/>
          </w:tcPr>
          <w:p/>
        </w:tc>
        <w:tc>
          <w:tcPr>
            <w:tcW w:type="dxa" w:w="1587"/>
            <w:shd w:fill="FFFFFF"/>
            <w:tcMar>
              <w:top w:w="140" w:type="dxa"/>
              <w:bottom w:w="140" w:type="dxa"/>
              <w:left w:w="80" w:type="dxa"/>
              <w:right w:w="80" w:type="dxa"/>
            </w:tcMar>
            <w:shd w:fill="FFFDF5"/>
            <w:shd w:fill="FFFDF5"/>
          </w:tcPr>
          <w:p/>
        </w:tc>
      </w:tr>
      <w:tr>
        <w:tc>
          <w:tcPr>
            <w:tcW w:type="dxa" w:w="1701"/>
            <w:shd w:fill="FFFBEB"/>
            <w:tcMar>
              <w:top w:w="140" w:type="dxa"/>
              <w:bottom w:w="140" w:type="dxa"/>
              <w:left w:w="80" w:type="dxa"/>
              <w:right w:w="80" w:type="dxa"/>
            </w:tcMar>
            <w:shd w:fill="FAF8F2"/>
            <w:shd w:fill="FAF8F2"/>
          </w:tcPr>
          <w:p>
            <w:r>
              <w:rPr>
                <w:rFonts w:ascii="PingFang TC" w:hAnsi="PingFang TC"/>
                <w:b/>
                <w:color w:val="A83212"/>
                <w:sz w:val="18"/>
              </w:rPr>
              <w:t>龍社路 603 號</w:t>
            </w:r>
          </w:p>
        </w:tc>
        <w:tc>
          <w:tcPr>
            <w:tcW w:type="dxa" w:w="1474"/>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c>
          <w:tcPr>
            <w:tcW w:type="dxa" w:w="1701"/>
            <w:shd w:fill="F8FAFC"/>
            <w:tcMar>
              <w:top w:w="140" w:type="dxa"/>
              <w:bottom w:w="140" w:type="dxa"/>
              <w:left w:w="80" w:type="dxa"/>
              <w:right w:w="80" w:type="dxa"/>
            </w:tcMar>
            <w:shd w:fill="FAF8F2"/>
            <w:shd w:fill="FAF8F2"/>
          </w:tcPr>
          <w:p/>
        </w:tc>
        <w:tc>
          <w:tcPr>
            <w:tcW w:type="dxa" w:w="1587"/>
            <w:shd w:fill="F8FAFC"/>
            <w:tcMar>
              <w:top w:w="140" w:type="dxa"/>
              <w:bottom w:w="140" w:type="dxa"/>
              <w:left w:w="80" w:type="dxa"/>
              <w:right w:w="80" w:type="dxa"/>
            </w:tcMar>
            <w:shd w:fill="FAF8F2"/>
            <w:shd w:fill="FAF8F2"/>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shd w:fill="1A1D20"/>
          </w:tcPr>
          <w:p>
            <w:pPr>
              <w:spacing w:line="300" w:lineRule="auto"/>
            </w:pPr>
            <w:r>
              <w:rPr>
                <w:rFonts w:ascii="PingFang TC" w:hAnsi="PingFang TC"/>
                <w:b/>
                <w:color w:val="D4AF37"/>
                <w:sz w:val="20"/>
              </w:rPr>
              <w:t>【全體區權人共同委任授權條款】</w:t>
              <w:br/>
            </w:r>
            <w:r>
              <w:rPr>
                <w:rFonts w:ascii="PingFang TC" w:hAnsi="PingFang TC"/>
                <w:b/>
                <w:color w:val="D4AF37"/>
                <w:sz w:val="18"/>
              </w:rPr>
              <w:t>本連署人等謹此共同推派並全權委託 廖倫豪 先生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D4AF37"/>
          <w:sz w:val="20"/>
        </w:rPr>
        <w:t>【檢附附件】</w:t>
      </w:r>
    </w:p>
    <w:p>
      <w:pPr>
        <w:spacing w:line="288" w:lineRule="auto" w:before="20" w:after="40"/>
      </w:pPr>
      <w:r>
        <w:rPr>
          <w:rFonts w:ascii="PingFang TC" w:hAnsi="PingFang TC"/>
          <w:color w:val="B8860B"/>
          <w:sz w:val="17"/>
        </w:rPr>
        <w:t>附件一：《富宇大境社區管理委員會法定獨立分割可行性研究與實務推進執行報告書》（全本乙份）</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B8860B"/>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報告人：Howard Liao Ph.D.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