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  <w:jc w:val="center"/>
      </w:pPr>
      <w:r>
        <w:rPr>
          <w:rFonts w:ascii="PingFang TC" w:hAnsi="PingFang TC"/>
          <w:b/>
          <w:color w:val="B8860B"/>
          <w:sz w:val="32"/>
        </w:rPr>
        <w:t>【附件二】富宇大地全區地籍配置圖</w:t>
        <w:br/>
        <w:t>暨富宇大境（A2 區）獨立出入地理證明書</w:t>
      </w:r>
    </w:p>
    <w:p>
      <w:pPr>
        <w:spacing w:before="40" w:after="280"/>
        <w:jc w:val="center"/>
      </w:pPr>
      <w:r>
        <w:rPr>
          <w:rFonts w:ascii="PingFang TC" w:hAnsi="PingFang TC"/>
          <w:b/>
          <w:color w:val="DE5814"/>
          <w:sz w:val="19"/>
        </w:rPr>
        <w:t>證明 A2 大境 6 戶面臨公有計畫道路龍社路，出入完全獨立，未途經內部私設巷道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40062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附件二_富宇大地全區地籍配置圖_A2大境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0629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041"/>
            <w:shd w:fill="FFFBEB"/>
            <w:tcMar>
              <w:top w:w="80" w:type="dxa"/>
              <w:bottom w:w="80" w:type="dxa"/>
              <w:left w:w="100" w:type="dxa"/>
              <w:right w:w="100" w:type="dxa"/>
            </w:tcMar>
            <w:shd w:fill="1A1D20"/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標的戶別與門牌</w:t>
            </w:r>
          </w:p>
        </w:tc>
        <w:tc>
          <w:tcPr>
            <w:tcW w:type="dxa" w:w="759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1A1D20"/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富宇大境（A2 區）共 6 戶透天別墅（台中市沙鹿區龍社路 593、595、597、599、601、603 號）</w:t>
            </w:r>
          </w:p>
        </w:tc>
      </w:tr>
      <w:tr>
        <w:tc>
          <w:tcPr>
            <w:tcW w:type="dxa" w:w="2041"/>
            <w:shd w:fill="FFFBEB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臨接道路屬性</w:t>
            </w:r>
          </w:p>
        </w:tc>
        <w:tc>
          <w:tcPr>
            <w:tcW w:type="dxa" w:w="759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直接面臨台中市都市計畫公有道路「龍社路」，路寬充足，人員與車輛直接銜接市區幹道</w:t>
            </w:r>
          </w:p>
        </w:tc>
      </w:tr>
      <w:tr>
        <w:tc>
          <w:tcPr>
            <w:tcW w:type="dxa" w:w="2041"/>
            <w:shd w:fill="FFFBEB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內部巷道通行關係</w:t>
            </w:r>
          </w:p>
        </w:tc>
        <w:tc>
          <w:tcPr>
            <w:tcW w:type="dxa" w:w="759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完全無需進入或通行富宇大地內部私設巷道（如 638 巷、642 巷、646 巷等）</w:t>
            </w:r>
          </w:p>
        </w:tc>
      </w:tr>
      <w:tr>
        <w:tc>
          <w:tcPr>
            <w:tcW w:type="dxa" w:w="2041"/>
            <w:shd w:fill="FFFBEB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共用設施關聯</w:t>
            </w:r>
          </w:p>
        </w:tc>
        <w:tc>
          <w:tcPr>
            <w:tcW w:type="dxa" w:w="759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與大社區內部之貨櫃屋管理室、流動廁所、兒童遊樂綠地無物理重疊，具備百分之百獨立使用性</w:t>
            </w:r>
          </w:p>
        </w:tc>
      </w:tr>
      <w:tr>
        <w:tc>
          <w:tcPr>
            <w:tcW w:type="dxa" w:w="2041"/>
            <w:shd w:fill="FFFBEB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法定分割結論</w:t>
            </w:r>
          </w:p>
        </w:tc>
        <w:tc>
          <w:tcPr>
            <w:tcW w:type="dxa" w:w="759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完全符合《公寓大廈管理條例》第 26 條第 1 項「得獨立使用且能分別成立管理委員會」之構成要件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PingFang TC" w:hAnsi="PingFang TC"/>
        <w:color w:val="8C8273"/>
        <w:sz w:val="17"/>
      </w:rPr>
      <w:t xml:space="preserve">報告人：Howard Liao Ph.D.  ｜  第 </w:t>
    </w:r>
    <w:fldSimple w:instr="PAGE">
      <w:r>
        <w:rPr>
          <w:rFonts w:ascii="PingFang TC" w:eastAsia="PingFang TC"/>
          <w:sz w:val="17"/>
          <w:color w:val="8C8273"/>
        </w:rPr>
        <w:t>1</w:t>
      </w:r>
    </w:fldSimple>
    <w:r>
      <w:rPr>
        <w:rFonts w:ascii="PingFang TC" w:hAnsi="PingFang TC"/>
        <w:color w:val="8C8273"/>
        <w:sz w:val="17"/>
      </w:rPr>
      <w:t xml:space="preserve"> 頁  /  共 </w:t>
    </w:r>
    <w:fldSimple w:instr="NUMPAGES">
      <w:r>
        <w:rPr>
          <w:rFonts w:ascii="PingFang TC" w:eastAsia="PingFang TC"/>
          <w:sz w:val="17"/>
          <w:color w:val="8C8273"/>
        </w:rPr>
        <w:t>1</w:t>
      </w:r>
    </w:fldSimple>
    <w:r>
      <w:rPr>
        <w:rFonts w:ascii="PingFang TC" w:hAnsi="PingFang TC"/>
        <w:color w:val="8C8273"/>
        <w:sz w:val="17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PingFang TC" w:hAnsi="PingFang TC"/>
        <w:color w:val="718096"/>
        <w:sz w:val="17"/>
      </w:rPr>
      <w:t>附件二：富宇大地全區地籍圖及出入證明 ｜ 法定附件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