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80"/>
        <w:jc w:val="center"/>
      </w:pPr>
      <w:r>
        <w:rPr>
          <w:rFonts w:ascii="PingFang TC" w:hAnsi="PingFang TC"/>
          <w:b/>
          <w:color w:val="A83212"/>
          <w:sz w:val="32"/>
        </w:rPr>
        <w:t>【附件三】富宇大地 115 年 5 月與 9 月例行會議記錄</w:t>
        <w:br/>
        <w:t>暨新光銀行 A2 大境定存專單財報存根證明書</w:t>
      </w:r>
    </w:p>
    <w:p>
      <w:pPr>
        <w:spacing w:before="40" w:after="280"/>
        <w:jc w:val="center"/>
      </w:pPr>
      <w:r>
        <w:rPr>
          <w:rFonts w:ascii="PingFang TC" w:hAnsi="PingFang TC"/>
          <w:b/>
          <w:color w:val="DE5814"/>
          <w:sz w:val="19"/>
        </w:rPr>
        <w:t>證明新光銀行專戶白紙黑字立卷「A2 大境定存單 NT$ 220,231 元」與交屋管理基金 60,000 元之產權確權事實</w:t>
      </w:r>
    </w:p>
    <w:p>
      <w:r>
        <w:rPr>
          <w:rFonts w:ascii="PingFang TC" w:hAnsi="PingFang TC"/>
          <w:b/>
          <w:color w:val="D4AF37"/>
          <w:sz w:val="21"/>
        </w:rPr>
        <w:t>一、115 年 5 月 6 日第一次例行會議記錄【議題四決議節錄】</w:t>
      </w:r>
    </w:p>
    <w:p>
      <w:pPr>
        <w:spacing w:line="312" w:lineRule="auto"/>
      </w:pPr>
      <w:r>
        <w:rPr>
          <w:rFonts w:ascii="PingFang TC" w:hAnsi="PingFang TC"/>
          <w:color w:val="2D3748"/>
          <w:sz w:val="18"/>
        </w:rPr>
        <w:t>【議題四：關於政府提撥公共基金銀行定存事宜】</w:t>
        <w:br/>
        <w:t>決議文：「經出席委員一致決議，將台中市政府已核退入帳進社區帳戶的 4 區公共基金，依各區分別辦理定存……各區公共基金額度含所孳生利息分述如下，將兩筆費用分開定存。」</w:t>
        <w:br/>
        <w:t>證明要旨：管委會自始即肯認各區公共基金產權獨立，並依分區開立定存單，並非混同不可分之單一帳目。</w:t>
      </w:r>
    </w:p>
    <w:p>
      <w:pPr>
        <w:spacing w:before="160"/>
      </w:pPr>
      <w:r>
        <w:rPr>
          <w:rFonts w:ascii="PingFang TC" w:hAnsi="PingFang TC"/>
          <w:b/>
          <w:color w:val="D4AF37"/>
          <w:sz w:val="21"/>
        </w:rPr>
        <w:t>二、115 年 9 月 8 日例行會議記錄【新光銀行結餘與定存單確權清冊】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fill="2D3748"/>
            <w:tcMar>
              <w:top w:w="100" w:type="dxa"/>
              <w:bottom w:w="100" w:type="dxa"/>
              <w:left w:w="100" w:type="dxa"/>
              <w:right w:w="100" w:type="dxa"/>
            </w:tcMar>
            <w:shd w:fill="1A1D20"/>
            <w:shd w:fill="1A1D20"/>
            <w:shd w:fill="1A1D20"/>
          </w:tcPr>
          <w:p>
            <w:r>
              <w:rPr>
                <w:rFonts w:ascii="PingFang TC" w:hAnsi="PingFang TC"/>
                <w:b/>
                <w:color w:val="D4AF37"/>
                <w:sz w:val="17"/>
              </w:rPr>
              <w:t>定存專單名稱</w:t>
            </w:r>
          </w:p>
        </w:tc>
        <w:tc>
          <w:tcPr>
            <w:tcW w:type="dxa" w:w="2409"/>
            <w:shd w:fill="2D3748"/>
            <w:tcMar>
              <w:top w:w="100" w:type="dxa"/>
              <w:bottom w:w="100" w:type="dxa"/>
              <w:left w:w="100" w:type="dxa"/>
              <w:right w:w="100" w:type="dxa"/>
            </w:tcMar>
            <w:shd w:fill="1A1D20"/>
            <w:shd w:fill="1A1D20"/>
            <w:shd w:fill="1A1D20"/>
          </w:tcPr>
          <w:p>
            <w:r>
              <w:rPr>
                <w:rFonts w:ascii="PingFang TC" w:hAnsi="PingFang TC"/>
                <w:b/>
                <w:color w:val="D4AF37"/>
                <w:sz w:val="17"/>
              </w:rPr>
              <w:t>存單本金金額</w:t>
            </w:r>
          </w:p>
        </w:tc>
        <w:tc>
          <w:tcPr>
            <w:tcW w:type="dxa" w:w="2409"/>
            <w:shd w:fill="2D3748"/>
            <w:tcMar>
              <w:top w:w="100" w:type="dxa"/>
              <w:bottom w:w="100" w:type="dxa"/>
              <w:left w:w="100" w:type="dxa"/>
              <w:right w:w="100" w:type="dxa"/>
            </w:tcMar>
            <w:shd w:fill="1A1D20"/>
            <w:shd w:fill="1A1D20"/>
            <w:shd w:fill="1A1D20"/>
          </w:tcPr>
          <w:p>
            <w:r>
              <w:rPr>
                <w:rFonts w:ascii="PingFang TC" w:hAnsi="PingFang TC"/>
                <w:b/>
                <w:color w:val="D4AF37"/>
                <w:sz w:val="17"/>
              </w:rPr>
              <w:t>保管金融機構</w:t>
            </w:r>
          </w:p>
        </w:tc>
        <w:tc>
          <w:tcPr>
            <w:tcW w:type="dxa" w:w="2409"/>
            <w:shd w:fill="2D3748"/>
            <w:tcMar>
              <w:top w:w="100" w:type="dxa"/>
              <w:bottom w:w="100" w:type="dxa"/>
              <w:left w:w="100" w:type="dxa"/>
              <w:right w:w="100" w:type="dxa"/>
            </w:tcMar>
            <w:shd w:fill="1A1D20"/>
            <w:shd w:fill="1A1D20"/>
            <w:shd w:fill="1A1D20"/>
          </w:tcPr>
          <w:p>
            <w:r>
              <w:rPr>
                <w:rFonts w:ascii="PingFang TC" w:hAnsi="PingFang TC"/>
                <w:b/>
                <w:color w:val="D4AF37"/>
                <w:sz w:val="17"/>
              </w:rPr>
              <w:t>權屬歸屬認定</w:t>
            </w:r>
          </w:p>
        </w:tc>
      </w:tr>
      <w:tr>
        <w:tc>
          <w:tcPr>
            <w:tcW w:type="dxa" w:w="2409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  <w:shd w:fill="FFFDF5"/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A1 上境區定存</w:t>
            </w:r>
          </w:p>
        </w:tc>
        <w:tc>
          <w:tcPr>
            <w:tcW w:type="dxa" w:w="2409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  <w:shd w:fill="FFFDF5"/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$344,300 元</w:t>
            </w:r>
          </w:p>
        </w:tc>
        <w:tc>
          <w:tcPr>
            <w:tcW w:type="dxa" w:w="2409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  <w:shd w:fill="FFFDF5"/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新光銀行專戶</w:t>
            </w:r>
          </w:p>
        </w:tc>
        <w:tc>
          <w:tcPr>
            <w:tcW w:type="dxa" w:w="2409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  <w:shd w:fill="FFFDF5"/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屬 A1 上境區權人所有</w:t>
            </w:r>
          </w:p>
        </w:tc>
      </w:tr>
      <w:tr>
        <w:tc>
          <w:tcPr>
            <w:tcW w:type="dxa" w:w="2409"/>
            <w:shd w:fill="FFFBEB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  <w:shd w:fill="FAF8F2"/>
            <w:shd w:fill="FAF8F2"/>
          </w:tcPr>
          <w:p>
            <w:r>
              <w:rPr>
                <w:rFonts w:ascii="PingFang TC" w:hAnsi="PingFang TC"/>
                <w:b/>
                <w:color w:val="A83212"/>
                <w:sz w:val="17"/>
              </w:rPr>
              <w:t>A2 大境區定存 (本專案)</w:t>
            </w:r>
          </w:p>
        </w:tc>
        <w:tc>
          <w:tcPr>
            <w:tcW w:type="dxa" w:w="2409"/>
            <w:shd w:fill="FFFBEB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  <w:shd w:fill="FAF8F2"/>
            <w:shd w:fill="FAF8F2"/>
          </w:tcPr>
          <w:p>
            <w:r>
              <w:rPr>
                <w:rFonts w:ascii="PingFang TC" w:hAnsi="PingFang TC"/>
                <w:b/>
                <w:color w:val="A83212"/>
                <w:sz w:val="17"/>
              </w:rPr>
              <w:t>NT$ 220,231 元</w:t>
            </w:r>
          </w:p>
        </w:tc>
        <w:tc>
          <w:tcPr>
            <w:tcW w:type="dxa" w:w="2409"/>
            <w:shd w:fill="FFFBEB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  <w:shd w:fill="FAF8F2"/>
            <w:shd w:fill="FAF8F2"/>
          </w:tcPr>
          <w:p>
            <w:r>
              <w:rPr>
                <w:rFonts w:ascii="PingFang TC" w:hAnsi="PingFang TC"/>
                <w:b/>
                <w:color w:val="A83212"/>
                <w:sz w:val="17"/>
              </w:rPr>
              <w:t>新光銀行專戶 (存單2)</w:t>
            </w:r>
          </w:p>
        </w:tc>
        <w:tc>
          <w:tcPr>
            <w:tcW w:type="dxa" w:w="2409"/>
            <w:shd w:fill="FFFBEB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  <w:shd w:fill="FAF8F2"/>
            <w:shd w:fill="FAF8F2"/>
          </w:tcPr>
          <w:p>
            <w:r>
              <w:rPr>
                <w:rFonts w:ascii="PingFang TC" w:hAnsi="PingFang TC"/>
                <w:b/>
                <w:color w:val="A83212"/>
                <w:sz w:val="17"/>
              </w:rPr>
              <w:t>100% 屬 A2 大境 6 戶區權人所有，分割移交</w:t>
            </w:r>
          </w:p>
        </w:tc>
      </w:tr>
      <w:tr>
        <w:tc>
          <w:tcPr>
            <w:tcW w:type="dxa" w:w="2409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  <w:shd w:fill="FFFDF5"/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B2 悠境區定存</w:t>
            </w:r>
          </w:p>
        </w:tc>
        <w:tc>
          <w:tcPr>
            <w:tcW w:type="dxa" w:w="2409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  <w:shd w:fill="FFFDF5"/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$918,349 元</w:t>
            </w:r>
          </w:p>
        </w:tc>
        <w:tc>
          <w:tcPr>
            <w:tcW w:type="dxa" w:w="2409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  <w:shd w:fill="FFFDF5"/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新光銀行專戶</w:t>
            </w:r>
          </w:p>
        </w:tc>
        <w:tc>
          <w:tcPr>
            <w:tcW w:type="dxa" w:w="2409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  <w:shd w:fill="FFFDF5"/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屬 B2 悠境區權人所有</w:t>
            </w:r>
          </w:p>
        </w:tc>
      </w:tr>
      <w:tr>
        <w:tc>
          <w:tcPr>
            <w:tcW w:type="dxa" w:w="2409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  <w:shd w:fill="FAF8F2"/>
            <w:shd w:fill="FAF8F2"/>
          </w:tcPr>
          <w:p>
            <w:r>
              <w:rPr>
                <w:rFonts w:ascii="PingFang TC" w:hAnsi="PingFang TC"/>
                <w:color w:val="2D3748"/>
                <w:sz w:val="17"/>
              </w:rPr>
              <w:t>C2 澄境區定存</w:t>
            </w:r>
          </w:p>
        </w:tc>
        <w:tc>
          <w:tcPr>
            <w:tcW w:type="dxa" w:w="2409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  <w:shd w:fill="FAF8F2"/>
            <w:shd w:fill="FAF8F2"/>
          </w:tcPr>
          <w:p>
            <w:r>
              <w:rPr>
                <w:rFonts w:ascii="PingFang TC" w:hAnsi="PingFang TC"/>
                <w:color w:val="2D3748"/>
                <w:sz w:val="17"/>
              </w:rPr>
              <w:t>$1,189,402 元</w:t>
            </w:r>
          </w:p>
        </w:tc>
        <w:tc>
          <w:tcPr>
            <w:tcW w:type="dxa" w:w="2409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  <w:shd w:fill="FAF8F2"/>
            <w:shd w:fill="FAF8F2"/>
          </w:tcPr>
          <w:p>
            <w:r>
              <w:rPr>
                <w:rFonts w:ascii="PingFang TC" w:hAnsi="PingFang TC"/>
                <w:color w:val="2D3748"/>
                <w:sz w:val="17"/>
              </w:rPr>
              <w:t>新光銀行專戶</w:t>
            </w:r>
          </w:p>
        </w:tc>
        <w:tc>
          <w:tcPr>
            <w:tcW w:type="dxa" w:w="2409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  <w:shd w:fill="FAF8F2"/>
            <w:shd w:fill="FAF8F2"/>
          </w:tcPr>
          <w:p>
            <w:r>
              <w:rPr>
                <w:rFonts w:ascii="PingFang TC" w:hAnsi="PingFang TC"/>
                <w:color w:val="2D3748"/>
                <w:sz w:val="17"/>
              </w:rPr>
              <w:t>屬 C2 澄境區權人所有</w:t>
            </w:r>
          </w:p>
        </w:tc>
      </w:tr>
      <w:tr>
        <w:tc>
          <w:tcPr>
            <w:tcW w:type="dxa" w:w="2409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  <w:shd w:fill="FFFDF5"/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定存四筆總計</w:t>
            </w:r>
          </w:p>
        </w:tc>
        <w:tc>
          <w:tcPr>
            <w:tcW w:type="dxa" w:w="2409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  <w:shd w:fill="FFFDF5"/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NT$ 2,672,282 元</w:t>
            </w:r>
          </w:p>
        </w:tc>
        <w:tc>
          <w:tcPr>
            <w:tcW w:type="dxa" w:w="2409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  <w:shd w:fill="FFFDF5"/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新光銀行專戶</w:t>
            </w:r>
          </w:p>
        </w:tc>
        <w:tc>
          <w:tcPr>
            <w:tcW w:type="dxa" w:w="2409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  <w:shd w:fill="FFFDF5"/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各區獨立定存存單</w:t>
            </w:r>
          </w:p>
        </w:tc>
      </w:tr>
    </w:tbl>
    <w:p>
      <w:pPr>
        <w:spacing w:before="160" w:line="312" w:lineRule="auto"/>
      </w:pPr>
      <w:r>
        <w:rPr>
          <w:rFonts w:ascii="PingFang TC" w:hAnsi="PingFang TC"/>
          <w:color w:val="2D3748"/>
          <w:sz w:val="18"/>
        </w:rPr>
        <w:t>三、115 年 5 月 5 日起造人（富宇建設）管理基金入帳確權證明：</w:t>
        <w:br/>
        <w:t>115年5月5日管理中心至富宇建設領取管理基金支票新台幣 241 萬元整入帳（即全社區 241 戶 × 每戶 1 萬元交屋預繳基金）。</w:t>
        <w:br/>
        <w:t>依據戶數比例，A2 大境共 6 戶，受委任保管之交屋管理基金本金為：新台幣 60,000 元整（$10,000 × 6戶），依法應於分割時全額返還大境管委會專戶。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PingFang TC" w:hAnsi="PingFang TC"/>
        <w:color w:val="8C8273"/>
        <w:sz w:val="17"/>
      </w:rPr>
      <w:t xml:space="preserve">報告人：廖倫豪  ｜  第 </w:t>
    </w:r>
    <w:fldSimple w:instr="PAGE">
      <w:r>
        <w:rPr>
          <w:rFonts w:ascii="PingFang TC" w:eastAsia="PingFang TC"/>
          <w:sz w:val="17"/>
          <w:color w:val="8C8273"/>
        </w:rPr>
        <w:t>1</w:t>
      </w:r>
    </w:fldSimple>
    <w:r>
      <w:rPr>
        <w:rFonts w:ascii="PingFang TC" w:hAnsi="PingFang TC"/>
        <w:color w:val="8C8273"/>
        <w:sz w:val="17"/>
      </w:rPr>
      <w:t xml:space="preserve"> 頁  /  共 </w:t>
    </w:r>
    <w:fldSimple w:instr="NUMPAGES">
      <w:r>
        <w:rPr>
          <w:rFonts w:ascii="PingFang TC" w:eastAsia="PingFang TC"/>
          <w:sz w:val="17"/>
          <w:color w:val="8C8273"/>
        </w:rPr>
        <w:t>1</w:t>
      </w:r>
    </w:fldSimple>
    <w:r>
      <w:rPr>
        <w:rFonts w:ascii="PingFang TC" w:hAnsi="PingFang TC"/>
        <w:color w:val="8C8273"/>
        <w:sz w:val="17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PingFang TC" w:hAnsi="PingFang TC"/>
        <w:color w:val="718096"/>
        <w:sz w:val="17"/>
      </w:rPr>
      <w:t>附件三：會議記錄及新光銀行A2定存財報存根 ｜ 法定附件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