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B8860B"/>
          <w:sz w:val="32"/>
        </w:rPr>
        <w:t>【附件二】富宇大地全區地籍配置圖</w:t>
        <w:br/>
        <w:t>暨富宇大境（A2 區）獨立出入地理證明書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 A2 大境 6 戶面臨公有計畫道路龍社路，出入完全獨立，未途經內部私設巷道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06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附件二_富宇大地全區地籍配置圖_A2大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62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標的戶別與門牌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富宇大境（A2 區）共 6 戶透天別墅（台中市沙鹿區龍社路 593、595、597、599、601、603 號）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臨接道路屬性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直接面臨台中市都市計畫公有道路「龍社路」，路寬充足，人員與車輛直接銜接市區幹道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內部巷道通行關係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完全無需進入或通行富宇大地內部私設巷道（如 638 巷、642 巷、646 巷等）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共用設施關聯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與大社區內部之貨櫃屋管理室、流動廁所、兒童遊樂綠地無物理重疊，具備百分之百獨立使用性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法定分割結論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完全符合《公寓大廈管理條例》第 26 條第 1 項「得獨立使用且能分別成立管理委員會」之構成要件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附件二：富宇大地全區地籍圖及出入證明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