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PingFang TC" w:hAnsi="PingFang TC"/>
          <w:b/>
          <w:color w:val="B8860B"/>
          <w:sz w:val="28"/>
        </w:rPr>
        <w:t>臺中市公寓大廈爭議事件調處申請書</w:t>
      </w:r>
    </w:p>
    <w:p>
      <w:pPr>
        <w:spacing w:before="0" w:after="80"/>
        <w:jc w:val="center"/>
      </w:pPr>
      <w:r>
        <w:rPr>
          <w:rFonts w:ascii="PingFang TC" w:hAnsi="PingFang TC"/>
          <w:color w:val="8C8273"/>
          <w:sz w:val="16"/>
        </w:rPr>
        <w:t>依據《公寓大廈管理條例》第 59 條之 1、第 53 條規定申請管理組織分流與資產移交調處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587"/>
            <w:shd w:fill="FFFDF5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B8860B"/>
                <w:sz w:val="16"/>
              </w:rPr>
              <w:t>申  請  人</w:t>
            </w:r>
          </w:p>
        </w:tc>
        <w:tc>
          <w:tcPr>
            <w:tcW w:type="dxa" w:w="8277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color w:val="1A1D20"/>
                <w:sz w:val="16"/>
              </w:rPr>
              <w:t>富宇大境（A2 區）全體 6 戶區分所有權人（沙鹿區龍社路 593～603 號全體區權人，名冊詳第二頁）</w:t>
            </w:r>
          </w:p>
        </w:tc>
      </w:tr>
      <w:tr>
        <w:tc>
          <w:tcPr>
            <w:tcW w:type="dxa" w:w="1587"/>
            <w:shd w:fill="FFFDF5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B8860B"/>
                <w:sz w:val="16"/>
              </w:rPr>
              <w:t>申請人代理人</w:t>
            </w:r>
          </w:p>
        </w:tc>
        <w:tc>
          <w:tcPr>
            <w:tcW w:type="dxa" w:w="8277"/>
            <w:shd w:fill="FAF8F2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1A1D20"/>
                <w:sz w:val="16"/>
              </w:rPr>
              <w:t>廖倫豪（特別代理人，住址：台中市沙鹿區龍社路 595 號，獲民法第 534 條調處和解特別授權）</w:t>
            </w:r>
          </w:p>
        </w:tc>
      </w:tr>
      <w:tr>
        <w:tc>
          <w:tcPr>
            <w:tcW w:type="dxa" w:w="1587"/>
            <w:shd w:fill="FFFDF5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B8860B"/>
                <w:sz w:val="16"/>
              </w:rPr>
              <w:t>相  對  人</w:t>
            </w:r>
          </w:p>
        </w:tc>
        <w:tc>
          <w:tcPr>
            <w:tcW w:type="dxa" w:w="8277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color w:val="1A1D20"/>
                <w:sz w:val="16"/>
              </w:rPr>
              <w:t>富宇大地社區管理委員會（法定代理人：主任委員，會址：台中市沙鹿區龍社路 642 巷口管理室）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fill="FFFDF5"/>
            <w:tcMar>
              <w:top w:w="40" w:type="dxa"/>
              <w:bottom w:w="40" w:type="dxa"/>
              <w:left w:w="80" w:type="dxa"/>
              <w:right w:w="70" w:type="dxa"/>
            </w:tcMar>
            <w:tcBorders>
              <w:left w:val="single" w:sz="24" w:space="0" w:color="D4AF37"/>
              <w:top w:val="none"/>
              <w:right w:val="none"/>
              <w:bottom w:val="none"/>
            </w:tcBorders>
          </w:tcPr>
          <w:p>
            <w:pPr>
              <w:spacing w:line="276" w:lineRule="auto" w:after="0"/>
            </w:pPr>
            <w:r>
              <w:rPr>
                <w:rFonts w:ascii="PingFang TC" w:hAnsi="PingFang TC"/>
                <w:b/>
                <w:color w:val="B8860B"/>
                <w:sz w:val="17"/>
              </w:rPr>
              <w:t>【請求調處事項】</w:t>
              <w:br/>
            </w:r>
            <w:r>
              <w:rPr>
                <w:rFonts w:ascii="PingFang TC" w:hAnsi="PingFang TC"/>
                <w:color w:val="1A1D20"/>
                <w:sz w:val="16"/>
              </w:rPr>
              <w:t>一、請求調處確認申請人 6 戶建物依《公寓大廈管理條例》第 53 條自相對人「富宇大地」管理組織範圍合意分流退出，回歸一般自用獨立透天住宅生活，不另成立管理委員會，並由建物管轄區公所准予變更備查。</w:t>
              <w:br/>
              <w:t>二、請求相對人於分流核准後，將專單立卷保管之新光銀行沙鹿分行「A2 大境定存單本息（NT$ 220,231 元）」及交屋管理基金（每戶 1 萬共 NT$ 60,000 元，合計約 28.4 萬元）依戶數均分，全額撥還退交申請人 6 戶區權人（每戶退還約 NT$ 47,455 元）。</w:t>
              <w:br/>
              <w:t>三、請求確認自調處成立生效日起，申請人 6 戶終止繳納相對人每月管理費，相對人亦免除對申請人門前路段之巡查維護責任。</w:t>
            </w:r>
          </w:p>
        </w:tc>
      </w:tr>
    </w:tbl>
    <w:p>
      <w:pPr>
        <w:spacing w:before="60" w:after="20"/>
      </w:pPr>
      <w:r>
        <w:rPr>
          <w:rFonts w:ascii="PingFang TC" w:hAnsi="PingFang TC"/>
          <w:b/>
          <w:color w:val="B8860B"/>
          <w:sz w:val="17"/>
        </w:rPr>
        <w:t>【事實及理由摘要】</w:t>
      </w:r>
    </w:p>
    <w:p>
      <w:pPr>
        <w:spacing w:line="269" w:lineRule="auto" w:before="20" w:after="20"/>
      </w:pPr>
      <w:r>
        <w:rPr>
          <w:rFonts w:ascii="PingFang TC" w:hAnsi="PingFang TC"/>
          <w:b/>
          <w:color w:val="B8860B"/>
          <w:sz w:val="16"/>
        </w:rPr>
        <w:t>一、出入與機能獨立無公設不可分性：</w:t>
      </w:r>
      <w:r>
        <w:rPr>
          <w:rFonts w:ascii="PingFang TC" w:hAnsi="PingFang TC"/>
          <w:color w:val="1A1D20"/>
          <w:sz w:val="16"/>
        </w:rPr>
        <w:t>申請人 6 戶透天座落沙鹿區龍社路 593～603 號，直接面臨公有計畫道路獨立出入，無須經由相對人內部巷道；自來水、自用電表、生活排水與化糞均獨立自理；生活廢棄物門前等候市府免費清潔隊清運，且申請人已立切結自願放棄使用相對人內部收費子母車，客觀上完全無《條例》第 53 條所稱「共用設施整體不可分性」。</w:t>
      </w:r>
    </w:p>
    <w:p>
      <w:pPr>
        <w:spacing w:line="269" w:lineRule="auto" w:before="20" w:after="20"/>
      </w:pPr>
      <w:r>
        <w:rPr>
          <w:rFonts w:ascii="PingFang TC" w:hAnsi="PingFang TC"/>
          <w:b/>
          <w:color w:val="B8860B"/>
          <w:sz w:val="16"/>
        </w:rPr>
        <w:t>二、定存專單獨立立卷且財務帳目清楚：</w:t>
      </w:r>
      <w:r>
        <w:rPr>
          <w:rFonts w:ascii="PingFang TC" w:hAnsi="PingFang TC"/>
          <w:color w:val="1A1D20"/>
          <w:sz w:val="16"/>
        </w:rPr>
        <w:t>相對人 115 年 5 月 6 日例會議題四決議及 9 月財報已明確將台中市政府核退之公款分別定存，其中第 2 筆即獨立立卷為「A2 大境區定存單 NT$ 220,231 元」；起造人交屋管理基金亦有每戶 1 萬元專款可稽。移交純屬原款專案歸位，相對人 235 戶之原有數百萬元公共基金分毫不受影響。</w:t>
      </w:r>
    </w:p>
    <w:p>
      <w:pPr>
        <w:spacing w:line="269" w:lineRule="auto" w:before="20" w:after="20"/>
      </w:pPr>
      <w:r>
        <w:rPr>
          <w:rFonts w:ascii="PingFang TC" w:hAnsi="PingFang TC"/>
          <w:b/>
          <w:color w:val="B8860B"/>
          <w:sz w:val="16"/>
        </w:rPr>
        <w:t>三、雙贏互惠並消弭大社區行政與法律負擔：</w:t>
      </w:r>
      <w:r>
        <w:rPr>
          <w:rFonts w:ascii="PingFang TC" w:hAnsi="PingFang TC"/>
          <w:color w:val="1A1D20"/>
          <w:sz w:val="16"/>
        </w:rPr>
        <w:t>分流後相對人責任聚焦於封閉式內部 235 戶，免除跨路巡檢與外側安全民事責任；內部子母車容量 100% 留給內部 235 戶使用。為免除全體 241 戶大會特別決議動員障礙，並賦予雙方主事幹部合法免責之和解基礎，特依法申請調處。</w:t>
      </w:r>
    </w:p>
    <w:p>
      <w:r>
        <w:br w:type="page"/>
      </w:r>
    </w:p>
    <w:p>
      <w:pPr>
        <w:spacing w:before="40" w:after="40"/>
        <w:jc w:val="center"/>
      </w:pPr>
      <w:r>
        <w:rPr>
          <w:rFonts w:ascii="PingFang TC" w:hAnsi="PingFang TC"/>
          <w:b/>
          <w:color w:val="B8860B"/>
          <w:sz w:val="26"/>
        </w:rPr>
        <w:t>富宇大境（A2 區・6 戶）全體區分所有權人調處申請簽章冊</w:t>
      </w:r>
    </w:p>
    <w:p>
      <w:pPr>
        <w:spacing w:before="0" w:after="120"/>
      </w:pPr>
      <w:r>
        <w:rPr>
          <w:rFonts w:ascii="PingFang TC" w:hAnsi="PingFang TC"/>
          <w:color w:val="1A1D20"/>
          <w:sz w:val="16"/>
        </w:rPr>
        <w:t>全體申請人確認申請事項屬實，並共同特別授權 廖倫豪 全權出席臺中市政府調處會議、作成調處和解及簽署調處筆錄：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587"/>
            <w:shd w:fill="1A1D2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D4AF37"/>
                <w:sz w:val="16"/>
              </w:rPr>
              <w:t>戶號門牌</w:t>
            </w:r>
          </w:p>
        </w:tc>
        <w:tc>
          <w:tcPr>
            <w:tcW w:type="dxa" w:w="1474"/>
            <w:shd w:fill="1A1D2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D4AF37"/>
                <w:sz w:val="16"/>
              </w:rPr>
              <w:t>區權人姓名</w:t>
            </w:r>
          </w:p>
        </w:tc>
        <w:tc>
          <w:tcPr>
            <w:tcW w:type="dxa" w:w="1587"/>
            <w:shd w:fill="1A1D2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D4AF37"/>
                <w:sz w:val="16"/>
              </w:rPr>
              <w:t>身分證字號</w:t>
            </w:r>
          </w:p>
        </w:tc>
        <w:tc>
          <w:tcPr>
            <w:tcW w:type="dxa" w:w="1587"/>
            <w:shd w:fill="1A1D2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D4AF37"/>
                <w:sz w:val="16"/>
              </w:rPr>
              <w:t>聯絡電話</w:t>
            </w:r>
          </w:p>
        </w:tc>
        <w:tc>
          <w:tcPr>
            <w:tcW w:type="dxa" w:w="1928"/>
            <w:shd w:fill="1A1D2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D4AF37"/>
                <w:sz w:val="16"/>
              </w:rPr>
              <w:t>親筆簽名</w:t>
            </w:r>
          </w:p>
        </w:tc>
        <w:tc>
          <w:tcPr>
            <w:tcW w:type="dxa" w:w="1701"/>
            <w:shd w:fill="1A1D20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D4AF37"/>
                <w:sz w:val="16"/>
              </w:rPr>
              <w:t>印鑑蓋章 / 日期</w:t>
            </w:r>
          </w:p>
        </w:tc>
      </w:tr>
      <w:tr>
        <w:tc>
          <w:tcPr>
            <w:tcW w:type="dxa" w:w="1587"/>
            <w:shd w:fill="FFFDF5"/>
            <w:tcMar>
              <w:top w:w="100" w:type="dxa"/>
              <w:bottom w:w="10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B8860B"/>
                <w:sz w:val="16"/>
              </w:rPr>
              <w:t>龍社路 593 號</w:t>
            </w:r>
          </w:p>
        </w:tc>
        <w:tc>
          <w:tcPr>
            <w:tcW w:type="dxa" w:w="1474"/>
            <w:shd w:fill="FFFFFF"/>
            <w:tcMar>
              <w:top w:w="100" w:type="dxa"/>
              <w:bottom w:w="100" w:type="dxa"/>
              <w:left w:w="50" w:type="dxa"/>
              <w:right w:w="50" w:type="dxa"/>
            </w:tcMar>
          </w:tcPr>
          <w:p>
            <w:pPr>
              <w:spacing w:after="0"/>
            </w:pPr>
          </w:p>
        </w:tc>
        <w:tc>
          <w:tcPr>
            <w:tcW w:type="dxa" w:w="1587"/>
            <w:shd w:fill="FFFFFF"/>
            <w:tcMar>
              <w:top w:w="100" w:type="dxa"/>
              <w:bottom w:w="100" w:type="dxa"/>
              <w:left w:w="50" w:type="dxa"/>
              <w:right w:w="50" w:type="dxa"/>
            </w:tcMar>
          </w:tcPr>
          <w:p>
            <w:pPr>
              <w:spacing w:after="0"/>
            </w:pPr>
          </w:p>
        </w:tc>
        <w:tc>
          <w:tcPr>
            <w:tcW w:type="dxa" w:w="1587"/>
            <w:shd w:fill="FFFFFF"/>
            <w:tcMar>
              <w:top w:w="100" w:type="dxa"/>
              <w:bottom w:w="100" w:type="dxa"/>
              <w:left w:w="50" w:type="dxa"/>
              <w:right w:w="50" w:type="dxa"/>
            </w:tcMar>
          </w:tcPr>
          <w:p>
            <w:pPr>
              <w:spacing w:after="0"/>
            </w:pPr>
          </w:p>
        </w:tc>
        <w:tc>
          <w:tcPr>
            <w:tcW w:type="dxa" w:w="1928"/>
            <w:shd w:fill="FFFFFF"/>
            <w:tcMar>
              <w:top w:w="100" w:type="dxa"/>
              <w:bottom w:w="100" w:type="dxa"/>
              <w:left w:w="50" w:type="dxa"/>
              <w:right w:w="50" w:type="dxa"/>
            </w:tcMar>
          </w:tcPr>
          <w:p>
            <w:pPr>
              <w:spacing w:after="0"/>
            </w:pPr>
          </w:p>
        </w:tc>
        <w:tc>
          <w:tcPr>
            <w:tcW w:type="dxa" w:w="1701"/>
            <w:shd w:fill="FFFFFF"/>
            <w:tcMar>
              <w:top w:w="100" w:type="dxa"/>
              <w:bottom w:w="100" w:type="dxa"/>
              <w:left w:w="50" w:type="dxa"/>
              <w:right w:w="5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1587"/>
            <w:shd w:fill="FFFDF5"/>
            <w:tcMar>
              <w:top w:w="100" w:type="dxa"/>
              <w:bottom w:w="10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B8860B"/>
                <w:sz w:val="16"/>
              </w:rPr>
              <w:t>龍社路 595 號</w:t>
            </w:r>
          </w:p>
        </w:tc>
        <w:tc>
          <w:tcPr>
            <w:tcW w:type="dxa" w:w="1474"/>
            <w:shd w:fill="FAF8F2"/>
            <w:tcMar>
              <w:top w:w="100" w:type="dxa"/>
              <w:bottom w:w="100" w:type="dxa"/>
              <w:left w:w="50" w:type="dxa"/>
              <w:right w:w="50" w:type="dxa"/>
            </w:tcMar>
          </w:tcPr>
          <w:p>
            <w:pPr>
              <w:spacing w:after="0"/>
            </w:pPr>
          </w:p>
        </w:tc>
        <w:tc>
          <w:tcPr>
            <w:tcW w:type="dxa" w:w="1587"/>
            <w:shd w:fill="FAF8F2"/>
            <w:tcMar>
              <w:top w:w="100" w:type="dxa"/>
              <w:bottom w:w="100" w:type="dxa"/>
              <w:left w:w="50" w:type="dxa"/>
              <w:right w:w="50" w:type="dxa"/>
            </w:tcMar>
          </w:tcPr>
          <w:p>
            <w:pPr>
              <w:spacing w:after="0"/>
            </w:pPr>
          </w:p>
        </w:tc>
        <w:tc>
          <w:tcPr>
            <w:tcW w:type="dxa" w:w="1587"/>
            <w:shd w:fill="FAF8F2"/>
            <w:tcMar>
              <w:top w:w="100" w:type="dxa"/>
              <w:bottom w:w="100" w:type="dxa"/>
              <w:left w:w="50" w:type="dxa"/>
              <w:right w:w="50" w:type="dxa"/>
            </w:tcMar>
          </w:tcPr>
          <w:p>
            <w:pPr>
              <w:spacing w:after="0"/>
            </w:pPr>
          </w:p>
        </w:tc>
        <w:tc>
          <w:tcPr>
            <w:tcW w:type="dxa" w:w="1928"/>
            <w:shd w:fill="FAF8F2"/>
            <w:tcMar>
              <w:top w:w="100" w:type="dxa"/>
              <w:bottom w:w="100" w:type="dxa"/>
              <w:left w:w="50" w:type="dxa"/>
              <w:right w:w="50" w:type="dxa"/>
            </w:tcMar>
          </w:tcPr>
          <w:p>
            <w:pPr>
              <w:spacing w:after="0"/>
            </w:pPr>
          </w:p>
        </w:tc>
        <w:tc>
          <w:tcPr>
            <w:tcW w:type="dxa" w:w="1701"/>
            <w:shd w:fill="FAF8F2"/>
            <w:tcMar>
              <w:top w:w="100" w:type="dxa"/>
              <w:bottom w:w="100" w:type="dxa"/>
              <w:left w:w="50" w:type="dxa"/>
              <w:right w:w="5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1587"/>
            <w:shd w:fill="FFFDF5"/>
            <w:tcMar>
              <w:top w:w="100" w:type="dxa"/>
              <w:bottom w:w="10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B8860B"/>
                <w:sz w:val="16"/>
              </w:rPr>
              <w:t>龍社路 597 號</w:t>
            </w:r>
          </w:p>
        </w:tc>
        <w:tc>
          <w:tcPr>
            <w:tcW w:type="dxa" w:w="1474"/>
            <w:shd w:fill="FFFFFF"/>
            <w:tcMar>
              <w:top w:w="100" w:type="dxa"/>
              <w:bottom w:w="100" w:type="dxa"/>
              <w:left w:w="50" w:type="dxa"/>
              <w:right w:w="50" w:type="dxa"/>
            </w:tcMar>
          </w:tcPr>
          <w:p>
            <w:pPr>
              <w:spacing w:after="0"/>
            </w:pPr>
          </w:p>
        </w:tc>
        <w:tc>
          <w:tcPr>
            <w:tcW w:type="dxa" w:w="1587"/>
            <w:shd w:fill="FFFFFF"/>
            <w:tcMar>
              <w:top w:w="100" w:type="dxa"/>
              <w:bottom w:w="100" w:type="dxa"/>
              <w:left w:w="50" w:type="dxa"/>
              <w:right w:w="50" w:type="dxa"/>
            </w:tcMar>
          </w:tcPr>
          <w:p>
            <w:pPr>
              <w:spacing w:after="0"/>
            </w:pPr>
          </w:p>
        </w:tc>
        <w:tc>
          <w:tcPr>
            <w:tcW w:type="dxa" w:w="1587"/>
            <w:shd w:fill="FFFFFF"/>
            <w:tcMar>
              <w:top w:w="100" w:type="dxa"/>
              <w:bottom w:w="100" w:type="dxa"/>
              <w:left w:w="50" w:type="dxa"/>
              <w:right w:w="50" w:type="dxa"/>
            </w:tcMar>
          </w:tcPr>
          <w:p>
            <w:pPr>
              <w:spacing w:after="0"/>
            </w:pPr>
          </w:p>
        </w:tc>
        <w:tc>
          <w:tcPr>
            <w:tcW w:type="dxa" w:w="1928"/>
            <w:shd w:fill="FFFFFF"/>
            <w:tcMar>
              <w:top w:w="100" w:type="dxa"/>
              <w:bottom w:w="100" w:type="dxa"/>
              <w:left w:w="50" w:type="dxa"/>
              <w:right w:w="50" w:type="dxa"/>
            </w:tcMar>
          </w:tcPr>
          <w:p>
            <w:pPr>
              <w:spacing w:after="0"/>
            </w:pPr>
          </w:p>
        </w:tc>
        <w:tc>
          <w:tcPr>
            <w:tcW w:type="dxa" w:w="1701"/>
            <w:shd w:fill="FFFFFF"/>
            <w:tcMar>
              <w:top w:w="100" w:type="dxa"/>
              <w:bottom w:w="100" w:type="dxa"/>
              <w:left w:w="50" w:type="dxa"/>
              <w:right w:w="5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1587"/>
            <w:shd w:fill="FFFDF5"/>
            <w:tcMar>
              <w:top w:w="100" w:type="dxa"/>
              <w:bottom w:w="10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B8860B"/>
                <w:sz w:val="16"/>
              </w:rPr>
              <w:t>龍社路 599 號</w:t>
            </w:r>
          </w:p>
        </w:tc>
        <w:tc>
          <w:tcPr>
            <w:tcW w:type="dxa" w:w="1474"/>
            <w:shd w:fill="FAF8F2"/>
            <w:tcMar>
              <w:top w:w="100" w:type="dxa"/>
              <w:bottom w:w="100" w:type="dxa"/>
              <w:left w:w="50" w:type="dxa"/>
              <w:right w:w="50" w:type="dxa"/>
            </w:tcMar>
          </w:tcPr>
          <w:p>
            <w:pPr>
              <w:spacing w:after="0"/>
            </w:pPr>
          </w:p>
        </w:tc>
        <w:tc>
          <w:tcPr>
            <w:tcW w:type="dxa" w:w="1587"/>
            <w:shd w:fill="FAF8F2"/>
            <w:tcMar>
              <w:top w:w="100" w:type="dxa"/>
              <w:bottom w:w="100" w:type="dxa"/>
              <w:left w:w="50" w:type="dxa"/>
              <w:right w:w="50" w:type="dxa"/>
            </w:tcMar>
          </w:tcPr>
          <w:p>
            <w:pPr>
              <w:spacing w:after="0"/>
            </w:pPr>
          </w:p>
        </w:tc>
        <w:tc>
          <w:tcPr>
            <w:tcW w:type="dxa" w:w="1587"/>
            <w:shd w:fill="FAF8F2"/>
            <w:tcMar>
              <w:top w:w="100" w:type="dxa"/>
              <w:bottom w:w="100" w:type="dxa"/>
              <w:left w:w="50" w:type="dxa"/>
              <w:right w:w="50" w:type="dxa"/>
            </w:tcMar>
          </w:tcPr>
          <w:p>
            <w:pPr>
              <w:spacing w:after="0"/>
            </w:pPr>
          </w:p>
        </w:tc>
        <w:tc>
          <w:tcPr>
            <w:tcW w:type="dxa" w:w="1928"/>
            <w:shd w:fill="FAF8F2"/>
            <w:tcMar>
              <w:top w:w="100" w:type="dxa"/>
              <w:bottom w:w="100" w:type="dxa"/>
              <w:left w:w="50" w:type="dxa"/>
              <w:right w:w="50" w:type="dxa"/>
            </w:tcMar>
          </w:tcPr>
          <w:p>
            <w:pPr>
              <w:spacing w:after="0"/>
            </w:pPr>
          </w:p>
        </w:tc>
        <w:tc>
          <w:tcPr>
            <w:tcW w:type="dxa" w:w="1701"/>
            <w:shd w:fill="FAF8F2"/>
            <w:tcMar>
              <w:top w:w="100" w:type="dxa"/>
              <w:bottom w:w="100" w:type="dxa"/>
              <w:left w:w="50" w:type="dxa"/>
              <w:right w:w="5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1587"/>
            <w:shd w:fill="FFFDF5"/>
            <w:tcMar>
              <w:top w:w="100" w:type="dxa"/>
              <w:bottom w:w="10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B8860B"/>
                <w:sz w:val="16"/>
              </w:rPr>
              <w:t>龍社路 601 號</w:t>
            </w:r>
          </w:p>
        </w:tc>
        <w:tc>
          <w:tcPr>
            <w:tcW w:type="dxa" w:w="1474"/>
            <w:shd w:fill="FFFFFF"/>
            <w:tcMar>
              <w:top w:w="100" w:type="dxa"/>
              <w:bottom w:w="100" w:type="dxa"/>
              <w:left w:w="50" w:type="dxa"/>
              <w:right w:w="50" w:type="dxa"/>
            </w:tcMar>
          </w:tcPr>
          <w:p>
            <w:pPr>
              <w:spacing w:after="0"/>
            </w:pPr>
          </w:p>
        </w:tc>
        <w:tc>
          <w:tcPr>
            <w:tcW w:type="dxa" w:w="1587"/>
            <w:shd w:fill="FFFFFF"/>
            <w:tcMar>
              <w:top w:w="100" w:type="dxa"/>
              <w:bottom w:w="100" w:type="dxa"/>
              <w:left w:w="50" w:type="dxa"/>
              <w:right w:w="50" w:type="dxa"/>
            </w:tcMar>
          </w:tcPr>
          <w:p>
            <w:pPr>
              <w:spacing w:after="0"/>
            </w:pPr>
          </w:p>
        </w:tc>
        <w:tc>
          <w:tcPr>
            <w:tcW w:type="dxa" w:w="1587"/>
            <w:shd w:fill="FFFFFF"/>
            <w:tcMar>
              <w:top w:w="100" w:type="dxa"/>
              <w:bottom w:w="100" w:type="dxa"/>
              <w:left w:w="50" w:type="dxa"/>
              <w:right w:w="50" w:type="dxa"/>
            </w:tcMar>
          </w:tcPr>
          <w:p>
            <w:pPr>
              <w:spacing w:after="0"/>
            </w:pPr>
          </w:p>
        </w:tc>
        <w:tc>
          <w:tcPr>
            <w:tcW w:type="dxa" w:w="1928"/>
            <w:shd w:fill="FFFFFF"/>
            <w:tcMar>
              <w:top w:w="100" w:type="dxa"/>
              <w:bottom w:w="100" w:type="dxa"/>
              <w:left w:w="50" w:type="dxa"/>
              <w:right w:w="50" w:type="dxa"/>
            </w:tcMar>
          </w:tcPr>
          <w:p>
            <w:pPr>
              <w:spacing w:after="0"/>
            </w:pPr>
          </w:p>
        </w:tc>
        <w:tc>
          <w:tcPr>
            <w:tcW w:type="dxa" w:w="1701"/>
            <w:shd w:fill="FFFFFF"/>
            <w:tcMar>
              <w:top w:w="100" w:type="dxa"/>
              <w:bottom w:w="100" w:type="dxa"/>
              <w:left w:w="50" w:type="dxa"/>
              <w:right w:w="5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1587"/>
            <w:shd w:fill="FFFDF5"/>
            <w:tcMar>
              <w:top w:w="100" w:type="dxa"/>
              <w:bottom w:w="10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rFonts w:ascii="PingFang TC" w:hAnsi="PingFang TC"/>
                <w:b/>
                <w:color w:val="B8860B"/>
                <w:sz w:val="16"/>
              </w:rPr>
              <w:t>龍社路 603 號</w:t>
            </w:r>
          </w:p>
        </w:tc>
        <w:tc>
          <w:tcPr>
            <w:tcW w:type="dxa" w:w="1474"/>
            <w:shd w:fill="FAF8F2"/>
            <w:tcMar>
              <w:top w:w="100" w:type="dxa"/>
              <w:bottom w:w="100" w:type="dxa"/>
              <w:left w:w="50" w:type="dxa"/>
              <w:right w:w="50" w:type="dxa"/>
            </w:tcMar>
          </w:tcPr>
          <w:p>
            <w:pPr>
              <w:spacing w:after="0"/>
            </w:pPr>
          </w:p>
        </w:tc>
        <w:tc>
          <w:tcPr>
            <w:tcW w:type="dxa" w:w="1587"/>
            <w:shd w:fill="FAF8F2"/>
            <w:tcMar>
              <w:top w:w="100" w:type="dxa"/>
              <w:bottom w:w="100" w:type="dxa"/>
              <w:left w:w="50" w:type="dxa"/>
              <w:right w:w="50" w:type="dxa"/>
            </w:tcMar>
          </w:tcPr>
          <w:p>
            <w:pPr>
              <w:spacing w:after="0"/>
            </w:pPr>
          </w:p>
        </w:tc>
        <w:tc>
          <w:tcPr>
            <w:tcW w:type="dxa" w:w="1587"/>
            <w:shd w:fill="FAF8F2"/>
            <w:tcMar>
              <w:top w:w="100" w:type="dxa"/>
              <w:bottom w:w="100" w:type="dxa"/>
              <w:left w:w="50" w:type="dxa"/>
              <w:right w:w="50" w:type="dxa"/>
            </w:tcMar>
          </w:tcPr>
          <w:p>
            <w:pPr>
              <w:spacing w:after="0"/>
            </w:pPr>
          </w:p>
        </w:tc>
        <w:tc>
          <w:tcPr>
            <w:tcW w:type="dxa" w:w="1928"/>
            <w:shd w:fill="FAF8F2"/>
            <w:tcMar>
              <w:top w:w="100" w:type="dxa"/>
              <w:bottom w:w="100" w:type="dxa"/>
              <w:left w:w="50" w:type="dxa"/>
              <w:right w:w="50" w:type="dxa"/>
            </w:tcMar>
          </w:tcPr>
          <w:p>
            <w:pPr>
              <w:spacing w:after="0"/>
            </w:pPr>
          </w:p>
        </w:tc>
        <w:tc>
          <w:tcPr>
            <w:tcW w:type="dxa" w:w="1701"/>
            <w:shd w:fill="FAF8F2"/>
            <w:tcMar>
              <w:top w:w="100" w:type="dxa"/>
              <w:bottom w:w="100" w:type="dxa"/>
              <w:left w:w="50" w:type="dxa"/>
              <w:right w:w="50" w:type="dxa"/>
            </w:tcMar>
          </w:tcPr>
          <w:p>
            <w:pPr>
              <w:spacing w:after="0"/>
            </w:pPr>
          </w:p>
        </w:tc>
      </w:tr>
    </w:tbl>
    <w:p>
      <w:pPr>
        <w:spacing w:before="160" w:after="40"/>
      </w:pPr>
      <w:r>
        <w:rPr>
          <w:rFonts w:ascii="PingFang TC" w:hAnsi="PingFang TC"/>
          <w:b/>
          <w:color w:val="B8860B"/>
          <w:sz w:val="17"/>
        </w:rPr>
        <w:t>【檢附證物清冊】</w:t>
        <w:br/>
      </w:r>
      <w:r>
        <w:rPr>
          <w:rFonts w:ascii="PingFang TC" w:hAnsi="PingFang TC"/>
          <w:color w:val="1A1D20"/>
          <w:sz w:val="15"/>
        </w:rPr>
        <w:t>證物一：《法定獨立分割可行性研究報告書》（7 頁審計法理全本，論證第 53 條分流及雙贏效益）</w:t>
        <w:br/>
        <w:t>證物二：《富宇大地全區地籍圖及出入證明》（官方地籍配置圖說，佐證面臨龍社路公有道路獨立出入）</w:t>
        <w:br/>
        <w:t>證物三：《富宇大地 115 年 5 月例會議決與 9 月定存財報》（佐證 A2 定存單 NT$ 220,231 元專單保管）</w:t>
        <w:br/>
        <w:t>證物四：《共用設施無依賴切結與生活垃圾自行清運承諾書》（切結水電排污自理與放棄使用收費子母車）</w:t>
        <w:br/>
        <w:t>證物五：《專案全權委任授權書》（載明民法第 534 條爭議調處與和解之特別代理權）</w:t>
        <w:br/>
        <w:t>證物六：建物所有權第一類登記謄本清冊（6 戶區分所有權人身分資格證明）</w:t>
      </w:r>
    </w:p>
    <w:p>
      <w:pPr>
        <w:spacing w:before="120" w:after="0"/>
      </w:pPr>
      <w:r>
        <w:rPr>
          <w:rFonts w:ascii="PingFang TC" w:hAnsi="PingFang TC"/>
          <w:b/>
          <w:color w:val="1A1D20"/>
          <w:sz w:val="17"/>
        </w:rPr>
        <w:t>謹  呈</w:t>
        <w:br/>
        <w:t>臺中市政府都市發展局（公寓大廈爭議事件調處委員會）  公鑒</w:t>
        <w:br/>
      </w:r>
      <w:r>
        <w:rPr>
          <w:rFonts w:ascii="PingFang TC" w:hAnsi="PingFang TC"/>
          <w:b/>
          <w:color w:val="B8860B"/>
          <w:sz w:val="16"/>
        </w:rPr>
        <w:t>申請人代表兼特別代理人：廖倫豪（簽章）                      中華民國 115 年 _____ 月 _____ 日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94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TC" w:hAnsi="PingFang TC"/>
        <w:color w:val="8C8273"/>
        <w:sz w:val="17"/>
      </w:rPr>
      <w:t xml:space="preserve">報告人：廖倫豪  ｜  第 </w:t>
    </w:r>
    <w:fldSimple w:instr="PAGE">
      <w:r>
        <w:rPr>
          <w:rFonts w:ascii="PingFang TC" w:eastAsia="PingFang TC"/>
          <w:sz w:val="17"/>
          <w:color w:val="8C8273"/>
        </w:rPr>
        <w:t>1</w:t>
      </w:r>
    </w:fldSimple>
    <w:r>
      <w:rPr>
        <w:rFonts w:ascii="PingFang TC" w:hAnsi="PingFang TC"/>
        <w:color w:val="8C8273"/>
        <w:sz w:val="17"/>
      </w:rPr>
      <w:t xml:space="preserve"> 頁  /  共 </w:t>
    </w:r>
    <w:fldSimple w:instr="NUMPAGES">
      <w:r>
        <w:rPr>
          <w:rFonts w:ascii="PingFang TC" w:eastAsia="PingFang TC"/>
          <w:sz w:val="17"/>
          <w:color w:val="8C8273"/>
        </w:rPr>
        <w:t>2</w:t>
      </w:r>
    </w:fldSimple>
    <w:r>
      <w:rPr>
        <w:rFonts w:ascii="PingFang TC" w:hAnsi="PingFang TC"/>
        <w:color w:val="8C8273"/>
        <w:sz w:val="17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PingFang TC" w:hAnsi="PingFang TC"/>
        <w:color w:val="8C8273"/>
        <w:sz w:val="16"/>
      </w:rPr>
      <w:t>臺中市政府公寓大廈爭議事件調處申請書 ｜ 專案編號：FY-SPLIT-2026-A2 ｜ 專案編號：FY-SPLIT-2026-A2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