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PingFang TC" w:hAnsi="PingFang TC"/>
          <w:b/>
          <w:color w:val="B8860B"/>
          <w:sz w:val="26"/>
        </w:rPr>
        <w:t>【附件二】富宇大地全區地籍圖及建築配置出入圖說</w:t>
      </w:r>
    </w:p>
    <w:p>
      <w:pPr>
        <w:spacing w:before="0" w:after="80"/>
        <w:jc w:val="center"/>
      </w:pPr>
      <w:r>
        <w:rPr>
          <w:rFonts w:ascii="PingFang TC" w:hAnsi="PingFang TC"/>
          <w:color w:val="8C8273"/>
          <w:sz w:val="16"/>
        </w:rPr>
        <w:t>佐證 A2 富宇大境 6 戶面臨公有計畫道路「龍社路」獨立出入，無袋地爭議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件二_富宇大地全區地籍配置圖_A2大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地籍坐落地號</w:t>
            </w:r>
          </w:p>
        </w:tc>
        <w:tc>
          <w:tcPr>
            <w:tcW w:type="dxa" w:w="8277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台中市沙鹿區龍目井段龍泉小段相關地號（以地政事務所建物測量成果圖與地籍謄本為準）</w:t>
            </w:r>
          </w:p>
        </w:tc>
      </w:tr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基地出入條件</w:t>
            </w:r>
          </w:p>
        </w:tc>
        <w:tc>
          <w:tcPr>
            <w:tcW w:type="dxa" w:w="8277"/>
            <w:shd w:fill="FAF8F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直接面臨公有計畫道路龍社路，出入動線完全獨立，無須通行富宇大地內部私設巷道（如 642 巷等）</w:t>
            </w:r>
          </w:p>
        </w:tc>
      </w:tr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袋地通行爭議</w:t>
            </w:r>
          </w:p>
        </w:tc>
        <w:tc>
          <w:tcPr>
            <w:tcW w:type="dxa" w:w="8277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無袋地通行問題。無須經過他人私設巷道，符合民法及建築技術規則獨立臨路要求</w:t>
            </w:r>
          </w:p>
        </w:tc>
      </w:tr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管理分流法理</w:t>
            </w:r>
          </w:p>
        </w:tc>
        <w:tc>
          <w:tcPr>
            <w:tcW w:type="dxa" w:w="8277"/>
            <w:shd w:fill="FAF8F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6"/>
              </w:rPr>
              <w:t>符合《公寓大廈管理條例》第 53 條集居地區獨立出入與管理分流之客觀準用要件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8C8273"/>
        <w:sz w:val="16"/>
      </w:rPr>
      <w:t>附件二：富宇大地全區地籍圖及出入證明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