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PingFang TC" w:hAnsi="PingFang TC"/>
          <w:b/>
          <w:color w:val="B8860B"/>
          <w:sz w:val="28"/>
        </w:rPr>
        <w:t>【附件一】法定獨立分割可行性研究報告書</w:t>
      </w:r>
    </w:p>
    <w:p>
      <w:pPr>
        <w:spacing w:after="160"/>
        <w:jc w:val="center"/>
      </w:pPr>
      <w:r>
        <w:rPr>
          <w:rFonts w:ascii="PingFang TC" w:hAnsi="PingFang TC"/>
          <w:color w:val="8C8273"/>
          <w:sz w:val="17"/>
        </w:rPr>
        <w:t>依據《公寓大廈管理條例》第 53 條、第 31 條規定編制 ｜ 專案編號：FY-SPLIT-2026-A2</w:t>
      </w:r>
    </w:p>
    <w:tbl>
      <w:tblPr>
        <w:tblW w:type="auto" w:w="0"/>
        <w:jc w:val="center"/>
        <w:tblLook w:firstColumn="1" w:firstRow="1" w:lastColumn="0" w:lastRow="0" w:noHBand="0" w:noVBand="1" w:val="04A0"/>
      </w:tblPr>
      <w:tblGrid>
        <w:gridCol w:w="9866"/>
      </w:tblGrid>
      <w:tr>
        <w:tc>
          <w:tcPr>
            <w:tcW w:type="dxa" w:w="9865"/>
            <w:shd w:fill="FFFDF5"/>
            <w:tcMar>
              <w:top w:w="50" w:type="dxa"/>
              <w:bottom w:w="50" w:type="dxa"/>
              <w:left w:w="80" w:type="dxa"/>
              <w:right w:w="80" w:type="dxa"/>
            </w:tcMar>
            <w:tcBorders>
              <w:left w:val="single" w:sz="24" w:space="0" w:color="D4AF37"/>
              <w:top w:val="none"/>
              <w:right w:val="none"/>
              <w:bottom w:val="none"/>
            </w:tcBorders>
          </w:tcPr>
          <w:p>
            <w:pPr>
              <w:spacing w:line="276" w:lineRule="auto" w:after="0"/>
            </w:pPr>
            <w:r>
              <w:rPr>
                <w:rFonts w:ascii="PingFang TC" w:hAnsi="PingFang TC"/>
                <w:b/>
                <w:color w:val="B8860B"/>
                <w:sz w:val="18"/>
              </w:rPr>
              <w:t>【專案核心宗旨】</w:t>
              <w:br/>
            </w:r>
            <w:r>
              <w:rPr>
                <w:rFonts w:ascii="PingFang TC" w:hAnsi="PingFang TC"/>
                <w:color w:val="1A1D20"/>
                <w:sz w:val="17"/>
              </w:rPr>
              <w:t>本報告書專為台中市沙鹿區「富宇大境（A2 區，共 6 戶透天別墅）」全體區分所有權人編制。針對現行與「富宇大地」六區合併共 241 戶之治理體系進行深度穿透分析。結論明確確立：富宇大境基於出入地緣獨立、生活垃圾自理、水電排污物理邊界獨立，完全合於《公寓大廈管理條例》第 53 條集居地區管理分流之客觀要件；並建請管理委員會協助提請「區分所有權人會議」依第 31 條特別決議通過變更規約管理範圍，以促成雙贏自治。</w:t>
            </w:r>
          </w:p>
        </w:tc>
      </w:tr>
    </w:tbl>
    <w:tbl>
      <w:tblPr>
        <w:tblW w:type="auto" w:w="0"/>
        <w:jc w:val="center"/>
        <w:tblLook w:firstColumn="1" w:firstRow="1" w:lastColumn="0" w:lastRow="0" w:noHBand="0" w:noVBand="1" w:val="04A0"/>
      </w:tblPr>
      <w:tblGrid>
        <w:gridCol w:w="4933"/>
        <w:gridCol w:w="4933"/>
      </w:tblGrid>
      <w:tr>
        <w:tc>
          <w:tcPr>
            <w:tcW w:type="dxa" w:w="1814"/>
            <w:shd w:fill="FFFDF5"/>
            <w:tcMar>
              <w:top w:w="50" w:type="dxa"/>
              <w:bottom w:w="50" w:type="dxa"/>
              <w:left w:w="80" w:type="dxa"/>
              <w:right w:w="80" w:type="dxa"/>
            </w:tcMar>
          </w:tcPr>
          <w:p>
            <w:pPr>
              <w:spacing w:after="0"/>
            </w:pPr>
            <w:r>
              <w:rPr>
                <w:rFonts w:ascii="PingFang TC" w:hAnsi="PingFang TC"/>
                <w:b/>
                <w:color w:val="B8860B"/>
                <w:sz w:val="17"/>
              </w:rPr>
              <w:t>專案標的</w:t>
            </w:r>
          </w:p>
        </w:tc>
        <w:tc>
          <w:tcPr>
            <w:tcW w:type="dxa" w:w="8050"/>
            <w:shd w:fill="FFFFFF"/>
            <w:tcMar>
              <w:top w:w="50" w:type="dxa"/>
              <w:bottom w:w="50" w:type="dxa"/>
              <w:left w:w="80" w:type="dxa"/>
              <w:right w:w="80" w:type="dxa"/>
            </w:tcMar>
          </w:tcPr>
          <w:p>
            <w:pPr>
              <w:spacing w:after="0"/>
            </w:pPr>
            <w:r>
              <w:rPr>
                <w:rFonts w:ascii="PingFang TC" w:hAnsi="PingFang TC"/>
                <w:b/>
                <w:color w:val="1A1D20"/>
                <w:sz w:val="17"/>
              </w:rPr>
              <w:t>富宇大境（A2 區）透天別墅（沙鹿區龍社路 593、595、597、599、601、603 號，共 6 戶）</w:t>
            </w:r>
          </w:p>
        </w:tc>
      </w:tr>
      <w:tr>
        <w:tc>
          <w:tcPr>
            <w:tcW w:type="dxa" w:w="1814"/>
            <w:shd w:fill="FFFDF5"/>
            <w:tcMar>
              <w:top w:w="50" w:type="dxa"/>
              <w:bottom w:w="50" w:type="dxa"/>
              <w:left w:w="80" w:type="dxa"/>
              <w:right w:w="80" w:type="dxa"/>
            </w:tcMar>
          </w:tcPr>
          <w:p>
            <w:pPr>
              <w:spacing w:after="0"/>
            </w:pPr>
            <w:r>
              <w:rPr>
                <w:rFonts w:ascii="PingFang TC" w:hAnsi="PingFang TC"/>
                <w:b/>
                <w:color w:val="B8860B"/>
                <w:sz w:val="17"/>
              </w:rPr>
              <w:t>現行管轄體系</w:t>
            </w:r>
          </w:p>
        </w:tc>
        <w:tc>
          <w:tcPr>
            <w:tcW w:type="dxa" w:w="8050"/>
            <w:shd w:fill="FAF8F2"/>
            <w:tcMar>
              <w:top w:w="50" w:type="dxa"/>
              <w:bottom w:w="50" w:type="dxa"/>
              <w:left w:w="80" w:type="dxa"/>
              <w:right w:w="80" w:type="dxa"/>
            </w:tcMar>
          </w:tcPr>
          <w:p>
            <w:pPr>
              <w:spacing w:after="0"/>
            </w:pPr>
            <w:r>
              <w:rPr>
                <w:rFonts w:ascii="PingFang TC" w:hAnsi="PingFang TC"/>
                <w:color w:val="1A1D20"/>
                <w:sz w:val="17"/>
              </w:rPr>
              <w:t>富宇大地社區管理委員會（六區合併：A1, A2, B1, B2, C1, C2 共 241 戶）</w:t>
            </w:r>
          </w:p>
        </w:tc>
      </w:tr>
      <w:tr>
        <w:tc>
          <w:tcPr>
            <w:tcW w:type="dxa" w:w="1814"/>
            <w:shd w:fill="FFFDF5"/>
            <w:tcMar>
              <w:top w:w="50" w:type="dxa"/>
              <w:bottom w:w="50" w:type="dxa"/>
              <w:left w:w="80" w:type="dxa"/>
              <w:right w:w="80" w:type="dxa"/>
            </w:tcMar>
          </w:tcPr>
          <w:p>
            <w:pPr>
              <w:spacing w:after="0"/>
            </w:pPr>
            <w:r>
              <w:rPr>
                <w:rFonts w:ascii="PingFang TC" w:hAnsi="PingFang TC"/>
                <w:b/>
                <w:color w:val="B8860B"/>
                <w:sz w:val="17"/>
              </w:rPr>
              <w:t>核心推動法規</w:t>
            </w:r>
          </w:p>
        </w:tc>
        <w:tc>
          <w:tcPr>
            <w:tcW w:type="dxa" w:w="8050"/>
            <w:shd w:fill="FFFFFF"/>
            <w:tcMar>
              <w:top w:w="50" w:type="dxa"/>
              <w:bottom w:w="50" w:type="dxa"/>
              <w:left w:w="80" w:type="dxa"/>
              <w:right w:w="80" w:type="dxa"/>
            </w:tcMar>
          </w:tcPr>
          <w:p>
            <w:pPr>
              <w:spacing w:after="0"/>
            </w:pPr>
            <w:r>
              <w:rPr>
                <w:rFonts w:ascii="PingFang TC" w:hAnsi="PingFang TC"/>
                <w:color w:val="1A1D20"/>
                <w:sz w:val="17"/>
              </w:rPr>
              <w:t>《公寓大廈管理條例》第 53 條（集居地區分流準用）、第 31 條（規約管理範圍變更決議）</w:t>
            </w:r>
          </w:p>
        </w:tc>
      </w:tr>
      <w:tr>
        <w:tc>
          <w:tcPr>
            <w:tcW w:type="dxa" w:w="1814"/>
            <w:shd w:fill="FFFDF5"/>
            <w:tcMar>
              <w:top w:w="50" w:type="dxa"/>
              <w:bottom w:w="50" w:type="dxa"/>
              <w:left w:w="80" w:type="dxa"/>
              <w:right w:w="80" w:type="dxa"/>
            </w:tcMar>
          </w:tcPr>
          <w:p>
            <w:pPr>
              <w:spacing w:after="0"/>
            </w:pPr>
            <w:r>
              <w:rPr>
                <w:rFonts w:ascii="PingFang TC" w:hAnsi="PingFang TC"/>
                <w:b/>
                <w:color w:val="B8860B"/>
                <w:sz w:val="17"/>
              </w:rPr>
              <w:t>關鍵獨立事實</w:t>
            </w:r>
          </w:p>
        </w:tc>
        <w:tc>
          <w:tcPr>
            <w:tcW w:type="dxa" w:w="8050"/>
            <w:shd w:fill="FAF8F2"/>
            <w:tcMar>
              <w:top w:w="50" w:type="dxa"/>
              <w:bottom w:w="50" w:type="dxa"/>
              <w:left w:w="80" w:type="dxa"/>
              <w:right w:w="80" w:type="dxa"/>
            </w:tcMar>
          </w:tcPr>
          <w:p>
            <w:pPr>
              <w:spacing w:after="0"/>
            </w:pPr>
            <w:r>
              <w:rPr>
                <w:rFonts w:ascii="PingFang TC" w:hAnsi="PingFang TC"/>
                <w:color w:val="1A1D20"/>
                <w:sz w:val="17"/>
              </w:rPr>
              <w:t>A2 大境面臨龍社路公有計畫道路獨立出入，生活垃圾自行門前等候免費公車型垃圾車，水電排污獨立</w:t>
            </w:r>
          </w:p>
        </w:tc>
      </w:tr>
      <w:tr>
        <w:tc>
          <w:tcPr>
            <w:tcW w:type="dxa" w:w="1814"/>
            <w:shd w:fill="FFFDF5"/>
            <w:tcMar>
              <w:top w:w="50" w:type="dxa"/>
              <w:bottom w:w="50" w:type="dxa"/>
              <w:left w:w="80" w:type="dxa"/>
              <w:right w:w="80" w:type="dxa"/>
            </w:tcMar>
          </w:tcPr>
          <w:p>
            <w:pPr>
              <w:spacing w:after="0"/>
            </w:pPr>
            <w:r>
              <w:rPr>
                <w:rFonts w:ascii="PingFang TC" w:hAnsi="PingFang TC"/>
                <w:b/>
                <w:color w:val="B8860B"/>
                <w:sz w:val="17"/>
              </w:rPr>
              <w:t>建請移交公款</w:t>
            </w:r>
          </w:p>
        </w:tc>
        <w:tc>
          <w:tcPr>
            <w:tcW w:type="dxa" w:w="8050"/>
            <w:shd w:fill="FFFFFF"/>
            <w:tcMar>
              <w:top w:w="50" w:type="dxa"/>
              <w:bottom w:w="50" w:type="dxa"/>
              <w:left w:w="80" w:type="dxa"/>
              <w:right w:w="80" w:type="dxa"/>
            </w:tcMar>
          </w:tcPr>
          <w:p>
            <w:pPr>
              <w:spacing w:after="0"/>
            </w:pPr>
            <w:r>
              <w:rPr>
                <w:rFonts w:ascii="PingFang TC" w:hAnsi="PingFang TC"/>
                <w:b/>
                <w:color w:val="1A1D20"/>
                <w:sz w:val="17"/>
              </w:rPr>
              <w:t>新光銀行 A2 大境定存專單 NT$ 220,231 元 ＋ 富宇交屋管理基金 NT$ 60,000 元（合計逾 28 萬元）</w:t>
            </w:r>
          </w:p>
        </w:tc>
      </w:tr>
      <w:tr>
        <w:tc>
          <w:tcPr>
            <w:tcW w:type="dxa" w:w="1814"/>
            <w:shd w:fill="FFFDF5"/>
            <w:tcMar>
              <w:top w:w="50" w:type="dxa"/>
              <w:bottom w:w="50" w:type="dxa"/>
              <w:left w:w="80" w:type="dxa"/>
              <w:right w:w="80" w:type="dxa"/>
            </w:tcMar>
          </w:tcPr>
          <w:p>
            <w:pPr>
              <w:spacing w:after="0"/>
            </w:pPr>
            <w:r>
              <w:rPr>
                <w:rFonts w:ascii="PingFang TC" w:hAnsi="PingFang TC"/>
                <w:b/>
                <w:color w:val="B8860B"/>
                <w:sz w:val="17"/>
              </w:rPr>
              <w:t>專案報告人</w:t>
            </w:r>
          </w:p>
        </w:tc>
        <w:tc>
          <w:tcPr>
            <w:tcW w:type="dxa" w:w="8050"/>
            <w:shd w:fill="FAF8F2"/>
            <w:tcMar>
              <w:top w:w="50" w:type="dxa"/>
              <w:bottom w:w="50" w:type="dxa"/>
              <w:left w:w="80" w:type="dxa"/>
              <w:right w:w="80" w:type="dxa"/>
            </w:tcMar>
          </w:tcPr>
          <w:p>
            <w:pPr>
              <w:spacing w:after="0"/>
            </w:pPr>
            <w:r>
              <w:rPr>
                <w:rFonts w:ascii="PingFang TC" w:hAnsi="PingFang TC"/>
                <w:b/>
                <w:color w:val="1A1D20"/>
                <w:sz w:val="17"/>
              </w:rPr>
              <w:t>廖倫豪（社區治理諮詢・A17 區權人）</w:t>
            </w:r>
          </w:p>
        </w:tc>
      </w:tr>
    </w:tbl>
    <w:p>
      <w:r>
        <w:br w:type="page"/>
      </w:r>
    </w:p>
    <w:p>
      <w:pPr>
        <w:spacing w:before="120" w:after="40"/>
      </w:pPr>
      <w:r>
        <w:rPr>
          <w:rFonts w:ascii="PingFang TC" w:hAnsi="PingFang TC"/>
          <w:b/>
          <w:color w:val="B8860B"/>
          <w:sz w:val="21"/>
        </w:rPr>
        <w:t>【執行摘要：富宇大境獨立分割核心結論】</w:t>
      </w:r>
    </w:p>
    <w:tbl>
      <w:tblPr>
        <w:tblW w:type="auto" w:w="0"/>
        <w:jc w:val="center"/>
        <w:tblLook w:firstColumn="1" w:firstRow="1" w:lastColumn="0" w:lastRow="0" w:noHBand="0" w:noVBand="1" w:val="04A0"/>
      </w:tblPr>
      <w:tblGrid>
        <w:gridCol w:w="9866"/>
      </w:tblGrid>
      <w:tr>
        <w:tc>
          <w:tcPr>
            <w:tcW w:type="dxa" w:w="9865"/>
            <w:shd w:fill="FFFDF5"/>
            <w:tcMar>
              <w:top w:w="50" w:type="dxa"/>
              <w:bottom w:w="50" w:type="dxa"/>
              <w:left w:w="80" w:type="dxa"/>
              <w:right w:w="80" w:type="dxa"/>
            </w:tcMar>
            <w:tcBorders>
              <w:left w:val="single" w:sz="24" w:space="0" w:color="D4AF37"/>
              <w:top w:val="none"/>
              <w:right w:val="none"/>
              <w:bottom w:val="none"/>
            </w:tcBorders>
          </w:tcPr>
          <w:p>
            <w:pPr>
              <w:spacing w:line="276" w:lineRule="auto" w:after="0"/>
            </w:pPr>
            <w:r>
              <w:rPr>
                <w:rFonts w:ascii="PingFang TC" w:hAnsi="PingFang TC"/>
                <w:b/>
                <w:color w:val="B8860B"/>
                <w:sz w:val="18"/>
              </w:rPr>
              <w:t>【四大核心結論摘要】</w:t>
              <w:br/>
            </w:r>
            <w:r>
              <w:rPr>
                <w:rFonts w:ascii="PingFang TC" w:hAnsi="PingFang TC"/>
                <w:color w:val="1A1D20"/>
                <w:sz w:val="17"/>
              </w:rPr>
              <w:t>1. 出入交通完全獨立：A2 大境 6 戶門牌面臨公有計畫道路龍社路，出入交通直接銜接市區幹道，絕不途經富宇大地內部私設巷道（如 642 巷等），地緣出入無共用牽絆。</w:t>
              <w:br/>
              <w:t>2. 生活公設完全非依賴：大境住戶生活廢棄物均於門前等候市府免費清潔隊清運，完全未使用大社區內部收費子母車；水電與排污系統各自獨立自理，不依賴大社區機電設施。</w:t>
              <w:br/>
              <w:t>3. 專款定存單獨立立卷：新光銀行專戶已將「A2 大境定存」獨立開單為 NT$ 220,231 元專單保管，連同建商交屋基金 6 萬元，建請大會同意專案撥交大境專戶。</w:t>
              <w:br/>
              <w:t>4. 創造社區互利雙贏：分割後大社區減少垃圾子母車負荷與物業巡查負擔，大境 6 戶實質負擔大幅減輕，兼顧大社區 235 戶原有公共基金穩定，達成互信雙贏！</w:t>
            </w:r>
          </w:p>
        </w:tc>
      </w:tr>
    </w:tbl>
    <w:p>
      <w:pPr>
        <w:spacing w:before="120" w:after="40"/>
      </w:pPr>
      <w:r>
        <w:rPr>
          <w:rFonts w:ascii="PingFang TC" w:hAnsi="PingFang TC"/>
          <w:b/>
          <w:color w:val="B8860B"/>
          <w:sz w:val="21"/>
        </w:rPr>
        <w:t>第壹章：專案緣起與六區合併現況體檢</w:t>
      </w:r>
    </w:p>
    <w:p>
      <w:pPr>
        <w:spacing w:before="80" w:after="20"/>
      </w:pPr>
      <w:r>
        <w:rPr>
          <w:rFonts w:ascii="PingFang TC" w:hAnsi="PingFang TC"/>
          <w:b/>
          <w:color w:val="D4AF37"/>
          <w:sz w:val="18"/>
        </w:rPr>
        <w:t>1.1 社區歷史演進與六區合併背景</w:t>
      </w:r>
    </w:p>
    <w:p>
      <w:pPr>
        <w:spacing w:line="276" w:lineRule="auto" w:before="20" w:after="40"/>
      </w:pPr>
      <w:r>
        <w:rPr>
          <w:rFonts w:ascii="PingFang TC" w:hAnsi="PingFang TC"/>
          <w:color w:val="1A1D20"/>
          <w:sz w:val="17"/>
        </w:rPr>
        <w:t>富宇大地社區最初係由原「大境 (A2)、上境 (A1)、悠境 (B2)、澄境 (C2)」等獨立別墅區組合而成。至 115 年 1 月 24 日，「好境 (B1)、清境 (C1)」決議合併成立聯合管理委員會。於 115 年 4 月 18 日完成六區合併程序，並於 4 月 28 日完成組織報備，5 月 14 日獲台中市主管機關合法核准備查。</w:t>
      </w:r>
    </w:p>
    <w:p>
      <w:pPr>
        <w:spacing w:before="80" w:after="20"/>
      </w:pPr>
      <w:r>
        <w:rPr>
          <w:rFonts w:ascii="PingFang TC" w:hAnsi="PingFang TC"/>
          <w:b/>
          <w:color w:val="D4AF37"/>
          <w:sz w:val="18"/>
        </w:rPr>
        <w:t>1.2 六區地緣與戶數配置客觀現況</w:t>
      </w:r>
    </w:p>
    <w:p>
      <w:pPr>
        <w:spacing w:line="276" w:lineRule="auto" w:before="20" w:after="40"/>
      </w:pPr>
      <w:r>
        <w:rPr>
          <w:rFonts w:ascii="PingFang TC" w:hAnsi="PingFang TC"/>
          <w:color w:val="1A1D20"/>
          <w:sz w:val="17"/>
        </w:rPr>
        <w:t>依據官方地籍配置圖，全社區 241 戶分布呈現明顯的地緣差異，A2 大境位處最外緣，僅佔極小比例：</w:t>
      </w:r>
    </w:p>
    <w:tbl>
      <w:tblPr>
        <w:tblW w:type="auto" w:w="0"/>
        <w:jc w:val="center"/>
        <w:tblLook w:firstColumn="1" w:firstRow="1" w:lastColumn="0" w:lastRow="0" w:noHBand="0" w:noVBand="1" w:val="04A0"/>
      </w:tblPr>
      <w:tblGrid>
        <w:gridCol w:w="1973"/>
        <w:gridCol w:w="1973"/>
        <w:gridCol w:w="1973"/>
        <w:gridCol w:w="1973"/>
        <w:gridCol w:w="1973"/>
      </w:tblGrid>
      <w:tr>
        <w:tc>
          <w:tcPr>
            <w:tcW w:type="dxa" w:w="1973"/>
            <w:shd w:fill="1A1D20"/>
            <w:tcMar>
              <w:top w:w="45" w:type="dxa"/>
              <w:bottom w:w="45" w:type="dxa"/>
              <w:left w:w="60" w:type="dxa"/>
              <w:right w:w="60" w:type="dxa"/>
            </w:tcMar>
          </w:tcPr>
          <w:p>
            <w:pPr>
              <w:spacing w:after="0"/>
            </w:pPr>
            <w:r>
              <w:rPr>
                <w:rFonts w:ascii="PingFang TC" w:hAnsi="PingFang TC"/>
                <w:b/>
                <w:color w:val="D4AF37"/>
                <w:sz w:val="16"/>
              </w:rPr>
              <w:t>分區代號</w:t>
            </w:r>
          </w:p>
        </w:tc>
        <w:tc>
          <w:tcPr>
            <w:tcW w:type="dxa" w:w="1973"/>
            <w:shd w:fill="1A1D20"/>
            <w:tcMar>
              <w:top w:w="45" w:type="dxa"/>
              <w:bottom w:w="45" w:type="dxa"/>
              <w:left w:w="60" w:type="dxa"/>
              <w:right w:w="60" w:type="dxa"/>
            </w:tcMar>
          </w:tcPr>
          <w:p>
            <w:pPr>
              <w:spacing w:after="0"/>
            </w:pPr>
            <w:r>
              <w:rPr>
                <w:rFonts w:ascii="PingFang TC" w:hAnsi="PingFang TC"/>
                <w:b/>
                <w:color w:val="D4AF37"/>
                <w:sz w:val="16"/>
              </w:rPr>
              <w:t>分區名稱</w:t>
            </w:r>
          </w:p>
        </w:tc>
        <w:tc>
          <w:tcPr>
            <w:tcW w:type="dxa" w:w="1973"/>
            <w:shd w:fill="1A1D20"/>
            <w:tcMar>
              <w:top w:w="45" w:type="dxa"/>
              <w:bottom w:w="45" w:type="dxa"/>
              <w:left w:w="60" w:type="dxa"/>
              <w:right w:w="60" w:type="dxa"/>
            </w:tcMar>
          </w:tcPr>
          <w:p>
            <w:pPr>
              <w:spacing w:after="0"/>
            </w:pPr>
            <w:r>
              <w:rPr>
                <w:rFonts w:ascii="PingFang TC" w:hAnsi="PingFang TC"/>
                <w:b/>
                <w:color w:val="D4AF37"/>
                <w:sz w:val="16"/>
              </w:rPr>
              <w:t>總戶數</w:t>
            </w:r>
          </w:p>
        </w:tc>
        <w:tc>
          <w:tcPr>
            <w:tcW w:type="dxa" w:w="1973"/>
            <w:shd w:fill="1A1D20"/>
            <w:tcMar>
              <w:top w:w="45" w:type="dxa"/>
              <w:bottom w:w="45" w:type="dxa"/>
              <w:left w:w="60" w:type="dxa"/>
              <w:right w:w="60" w:type="dxa"/>
            </w:tcMar>
          </w:tcPr>
          <w:p>
            <w:pPr>
              <w:spacing w:after="0"/>
            </w:pPr>
            <w:r>
              <w:rPr>
                <w:rFonts w:ascii="PingFang TC" w:hAnsi="PingFang TC"/>
                <w:b/>
                <w:color w:val="D4AF37"/>
                <w:sz w:val="16"/>
              </w:rPr>
              <w:t>戶數佔比</w:t>
            </w:r>
          </w:p>
        </w:tc>
        <w:tc>
          <w:tcPr>
            <w:tcW w:type="dxa" w:w="1973"/>
            <w:shd w:fill="1A1D20"/>
            <w:tcMar>
              <w:top w:w="45" w:type="dxa"/>
              <w:bottom w:w="45" w:type="dxa"/>
              <w:left w:w="60" w:type="dxa"/>
              <w:right w:w="60" w:type="dxa"/>
            </w:tcMar>
          </w:tcPr>
          <w:p>
            <w:pPr>
              <w:spacing w:after="0"/>
            </w:pPr>
            <w:r>
              <w:rPr>
                <w:rFonts w:ascii="PingFang TC" w:hAnsi="PingFang TC"/>
                <w:b/>
                <w:color w:val="D4AF37"/>
                <w:sz w:val="16"/>
              </w:rPr>
              <w:t>地理出入與共用特徵</w:t>
            </w:r>
          </w:p>
        </w:tc>
      </w:tr>
      <w:tr>
        <w:tc>
          <w:tcPr>
            <w:tcW w:type="dxa" w:w="1973"/>
            <w:shd w:fill="FFFDF5"/>
            <w:tcMar>
              <w:top w:w="45" w:type="dxa"/>
              <w:bottom w:w="45" w:type="dxa"/>
              <w:left w:w="60" w:type="dxa"/>
              <w:right w:w="60" w:type="dxa"/>
            </w:tcMar>
          </w:tcPr>
          <w:p>
            <w:pPr>
              <w:spacing w:after="0"/>
            </w:pPr>
            <w:r>
              <w:rPr>
                <w:rFonts w:ascii="PingFang TC" w:hAnsi="PingFang TC"/>
                <w:b/>
                <w:color w:val="B8860B"/>
                <w:sz w:val="16"/>
              </w:rPr>
              <w:t>A2 區</w:t>
            </w:r>
          </w:p>
        </w:tc>
        <w:tc>
          <w:tcPr>
            <w:tcW w:type="dxa" w:w="1973"/>
            <w:shd w:fill="FFFDF5"/>
            <w:tcMar>
              <w:top w:w="45" w:type="dxa"/>
              <w:bottom w:w="45" w:type="dxa"/>
              <w:left w:w="60" w:type="dxa"/>
              <w:right w:w="60" w:type="dxa"/>
            </w:tcMar>
          </w:tcPr>
          <w:p>
            <w:pPr>
              <w:spacing w:after="0"/>
            </w:pPr>
            <w:r>
              <w:rPr>
                <w:rFonts w:ascii="PingFang TC" w:hAnsi="PingFang TC"/>
                <w:b/>
                <w:color w:val="B8860B"/>
                <w:sz w:val="16"/>
              </w:rPr>
              <w:t>富宇大境 (本專案)</w:t>
            </w:r>
          </w:p>
        </w:tc>
        <w:tc>
          <w:tcPr>
            <w:tcW w:type="dxa" w:w="1973"/>
            <w:shd w:fill="FFFDF5"/>
            <w:tcMar>
              <w:top w:w="45" w:type="dxa"/>
              <w:bottom w:w="45" w:type="dxa"/>
              <w:left w:w="60" w:type="dxa"/>
              <w:right w:w="60" w:type="dxa"/>
            </w:tcMar>
          </w:tcPr>
          <w:p>
            <w:pPr>
              <w:spacing w:after="0"/>
            </w:pPr>
            <w:r>
              <w:rPr>
                <w:rFonts w:ascii="PingFang TC" w:hAnsi="PingFang TC"/>
                <w:b/>
                <w:color w:val="B8860B"/>
                <w:sz w:val="16"/>
              </w:rPr>
              <w:t>6 戶</w:t>
            </w:r>
          </w:p>
        </w:tc>
        <w:tc>
          <w:tcPr>
            <w:tcW w:type="dxa" w:w="1973"/>
            <w:shd w:fill="FFFDF5"/>
            <w:tcMar>
              <w:top w:w="45" w:type="dxa"/>
              <w:bottom w:w="45" w:type="dxa"/>
              <w:left w:w="60" w:type="dxa"/>
              <w:right w:w="60" w:type="dxa"/>
            </w:tcMar>
          </w:tcPr>
          <w:p>
            <w:pPr>
              <w:spacing w:after="0"/>
            </w:pPr>
            <w:r>
              <w:rPr>
                <w:rFonts w:ascii="PingFang TC" w:hAnsi="PingFang TC"/>
                <w:b/>
                <w:color w:val="B8860B"/>
                <w:sz w:val="16"/>
              </w:rPr>
              <w:t>2.49%</w:t>
            </w:r>
          </w:p>
        </w:tc>
        <w:tc>
          <w:tcPr>
            <w:tcW w:type="dxa" w:w="1973"/>
            <w:shd w:fill="FFFDF5"/>
            <w:tcMar>
              <w:top w:w="45" w:type="dxa"/>
              <w:bottom w:w="45" w:type="dxa"/>
              <w:left w:w="60" w:type="dxa"/>
              <w:right w:w="60" w:type="dxa"/>
            </w:tcMar>
          </w:tcPr>
          <w:p>
            <w:pPr>
              <w:spacing w:after="0"/>
            </w:pPr>
            <w:r>
              <w:rPr>
                <w:rFonts w:ascii="PingFang TC" w:hAnsi="PingFang TC"/>
                <w:b/>
                <w:color w:val="B8860B"/>
                <w:sz w:val="16"/>
              </w:rPr>
              <w:t>面臨龍社路公有道路，獨立出入，完全不經過社區巷道</w:t>
            </w:r>
          </w:p>
        </w:tc>
      </w:tr>
      <w:tr>
        <w:tc>
          <w:tcPr>
            <w:tcW w:type="dxa" w:w="1973"/>
            <w:shd w:fill="FAF8F2"/>
            <w:tcMar>
              <w:top w:w="45" w:type="dxa"/>
              <w:bottom w:w="45" w:type="dxa"/>
              <w:left w:w="60" w:type="dxa"/>
              <w:right w:w="60" w:type="dxa"/>
            </w:tcMar>
          </w:tcPr>
          <w:p>
            <w:pPr>
              <w:spacing w:after="0"/>
            </w:pPr>
            <w:r>
              <w:rPr>
                <w:rFonts w:ascii="PingFang TC" w:hAnsi="PingFang TC"/>
                <w:color w:val="1A1D20"/>
                <w:sz w:val="16"/>
              </w:rPr>
              <w:t>A1 區</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富宇上境</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13 戶</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5.39%</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面臨龍社路公有道路，獨立出入</w:t>
            </w:r>
          </w:p>
        </w:tc>
      </w:tr>
      <w:tr>
        <w:tc>
          <w:tcPr>
            <w:tcW w:type="dxa" w:w="1973"/>
            <w:shd w:fill="FFFFFF"/>
            <w:tcMar>
              <w:top w:w="45" w:type="dxa"/>
              <w:bottom w:w="45" w:type="dxa"/>
              <w:left w:w="60" w:type="dxa"/>
              <w:right w:w="60" w:type="dxa"/>
            </w:tcMar>
          </w:tcPr>
          <w:p>
            <w:pPr>
              <w:spacing w:after="0"/>
            </w:pPr>
            <w:r>
              <w:rPr>
                <w:rFonts w:ascii="PingFang TC" w:hAnsi="PingFang TC"/>
                <w:color w:val="1A1D20"/>
                <w:sz w:val="16"/>
              </w:rPr>
              <w:t>B1 區</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富宇好境</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42 戶</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17.43%</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經由龍社路內部私設巷道進出，共用巷道與環保室</w:t>
            </w:r>
          </w:p>
        </w:tc>
      </w:tr>
      <w:tr>
        <w:tc>
          <w:tcPr>
            <w:tcW w:type="dxa" w:w="1973"/>
            <w:shd w:fill="FAF8F2"/>
            <w:tcMar>
              <w:top w:w="45" w:type="dxa"/>
              <w:bottom w:w="45" w:type="dxa"/>
              <w:left w:w="60" w:type="dxa"/>
              <w:right w:w="60" w:type="dxa"/>
            </w:tcMar>
          </w:tcPr>
          <w:p>
            <w:pPr>
              <w:spacing w:after="0"/>
            </w:pPr>
            <w:r>
              <w:rPr>
                <w:rFonts w:ascii="PingFang TC" w:hAnsi="PingFang TC"/>
                <w:color w:val="1A1D20"/>
                <w:sz w:val="16"/>
              </w:rPr>
              <w:t>B2 區</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富宇悠境</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55 戶</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22.82%</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經由龍社路內部私設巷道進出，深處社區</w:t>
            </w:r>
          </w:p>
        </w:tc>
      </w:tr>
      <w:tr>
        <w:tc>
          <w:tcPr>
            <w:tcW w:type="dxa" w:w="1973"/>
            <w:shd w:fill="FFFFFF"/>
            <w:tcMar>
              <w:top w:w="45" w:type="dxa"/>
              <w:bottom w:w="45" w:type="dxa"/>
              <w:left w:w="60" w:type="dxa"/>
              <w:right w:w="60" w:type="dxa"/>
            </w:tcMar>
          </w:tcPr>
          <w:p>
            <w:pPr>
              <w:spacing w:after="0"/>
            </w:pPr>
            <w:r>
              <w:rPr>
                <w:rFonts w:ascii="PingFang TC" w:hAnsi="PingFang TC"/>
                <w:color w:val="1A1D20"/>
                <w:sz w:val="16"/>
              </w:rPr>
              <w:t>C1 區</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富宇清境</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66 戶</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27.39%</w:t>
            </w:r>
          </w:p>
        </w:tc>
        <w:tc>
          <w:tcPr>
            <w:tcW w:type="dxa" w:w="1973"/>
            <w:shd w:fill="FFFFFF"/>
            <w:tcMar>
              <w:top w:w="45" w:type="dxa"/>
              <w:bottom w:w="45" w:type="dxa"/>
              <w:left w:w="60" w:type="dxa"/>
              <w:right w:w="60" w:type="dxa"/>
            </w:tcMar>
          </w:tcPr>
          <w:p>
            <w:pPr>
              <w:spacing w:after="0"/>
            </w:pPr>
            <w:r>
              <w:rPr>
                <w:rFonts w:ascii="PingFang TC" w:hAnsi="PingFang TC"/>
                <w:color w:val="1A1D20"/>
                <w:sz w:val="16"/>
              </w:rPr>
              <w:t>經由龍社路 642 巷內部巷道進出，最大戶數聚落</w:t>
            </w:r>
          </w:p>
        </w:tc>
      </w:tr>
      <w:tr>
        <w:tc>
          <w:tcPr>
            <w:tcW w:type="dxa" w:w="1973"/>
            <w:shd w:fill="FAF8F2"/>
            <w:tcMar>
              <w:top w:w="45" w:type="dxa"/>
              <w:bottom w:w="45" w:type="dxa"/>
              <w:left w:w="60" w:type="dxa"/>
              <w:right w:w="60" w:type="dxa"/>
            </w:tcMar>
          </w:tcPr>
          <w:p>
            <w:pPr>
              <w:spacing w:after="0"/>
            </w:pPr>
            <w:r>
              <w:rPr>
                <w:rFonts w:ascii="PingFang TC" w:hAnsi="PingFang TC"/>
                <w:color w:val="1A1D20"/>
                <w:sz w:val="16"/>
              </w:rPr>
              <w:t>C2 區</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富宇澄境</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59 戶</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24.48%</w:t>
            </w:r>
          </w:p>
        </w:tc>
        <w:tc>
          <w:tcPr>
            <w:tcW w:type="dxa" w:w="1973"/>
            <w:shd w:fill="FAF8F2"/>
            <w:tcMar>
              <w:top w:w="45" w:type="dxa"/>
              <w:bottom w:w="45" w:type="dxa"/>
              <w:left w:w="60" w:type="dxa"/>
              <w:right w:w="60" w:type="dxa"/>
            </w:tcMar>
          </w:tcPr>
          <w:p>
            <w:pPr>
              <w:spacing w:after="0"/>
            </w:pPr>
            <w:r>
              <w:rPr>
                <w:rFonts w:ascii="PingFang TC" w:hAnsi="PingFang TC"/>
                <w:color w:val="1A1D20"/>
                <w:sz w:val="16"/>
              </w:rPr>
              <w:t>經由龍社路 642、646 巷進出，內部大型聚落</w:t>
            </w:r>
          </w:p>
        </w:tc>
      </w:tr>
    </w:tbl>
    <w:p>
      <w:r>
        <w:br w:type="page"/>
      </w:r>
    </w:p>
    <w:p>
      <w:pPr>
        <w:spacing w:before="80" w:after="20"/>
      </w:pPr>
      <w:r>
        <w:rPr>
          <w:rFonts w:ascii="PingFang TC" w:hAnsi="PingFang TC"/>
          <w:b/>
          <w:color w:val="D4AF37"/>
          <w:sz w:val="18"/>
        </w:rPr>
        <w:t>1.3 A2 大境現行管理權責與維護之客觀差異</w:t>
      </w:r>
    </w:p>
    <w:p>
      <w:pPr>
        <w:spacing w:line="276" w:lineRule="auto" w:before="20" w:after="40"/>
      </w:pPr>
      <w:r>
        <w:rPr>
          <w:rFonts w:ascii="PingFang TC" w:hAnsi="PingFang TC"/>
          <w:color w:val="1A1D20"/>
          <w:sz w:val="17"/>
        </w:rPr>
        <w:t>A2 大境 6 戶位處最外側臨公有幹道龍社路，與內部 235 戶存在實質管理需求上的顯著差異：</w:t>
      </w:r>
    </w:p>
    <w:p>
      <w:pPr>
        <w:spacing w:line="276" w:lineRule="auto" w:before="20" w:after="40"/>
      </w:pPr>
      <w:r>
        <w:rPr>
          <w:rFonts w:ascii="PingFang TC" w:hAnsi="PingFang TC"/>
          <w:color w:val="1A1D20"/>
          <w:sz w:val="17"/>
        </w:rPr>
        <w:t>1. 管理費經常門收支分攤：A2 6 戶每年繳交 7.2 萬元管理費（6戶 × $1,000 × 12個月），主要用於支應內部私設巷道路面修繕、深處監視器與管制作業，門前實質維護需求極低。</w:t>
      </w:r>
    </w:p>
    <w:p>
      <w:pPr>
        <w:spacing w:line="276" w:lineRule="auto" w:before="20" w:after="40"/>
      </w:pPr>
      <w:r>
        <w:rPr>
          <w:rFonts w:ascii="PingFang TC" w:hAnsi="PingFang TC"/>
          <w:color w:val="1A1D20"/>
          <w:sz w:val="17"/>
        </w:rPr>
        <w:t>2. 垃圾清運設施之非依賴：內部巷道委由清潔廠商清運子母車（每月清運費用約 4.8～5 萬元）。大境住戶位在龍社路門前，平日均自行配合台中市環保局公有垃圾車免費收運，未實際使用內部子母車。</w:t>
      </w:r>
    </w:p>
    <w:p>
      <w:pPr>
        <w:spacing w:line="276" w:lineRule="auto" w:before="20" w:after="40"/>
      </w:pPr>
      <w:r>
        <w:rPr>
          <w:rFonts w:ascii="PingFang TC" w:hAnsi="PingFang TC"/>
          <w:color w:val="1A1D20"/>
          <w:sz w:val="17"/>
        </w:rPr>
        <w:t>3. 日常庶務與信件收受：物業管理室設立於內部貨櫃屋，大境住戶位在幹道旁，日常郵件多由郵差按鈴親送，享受之物業日常服務有限。</w:t>
      </w:r>
    </w:p>
    <w:p>
      <w:pPr>
        <w:spacing w:before="120" w:after="40"/>
      </w:pPr>
      <w:r>
        <w:rPr>
          <w:rFonts w:ascii="PingFang TC" w:hAnsi="PingFang TC"/>
          <w:b/>
          <w:color w:val="B8860B"/>
          <w:sz w:val="21"/>
        </w:rPr>
        <w:t>第貳章：法定分割之法理依據與三大客觀優勢</w:t>
      </w:r>
    </w:p>
    <w:p>
      <w:pPr>
        <w:spacing w:before="80" w:after="20"/>
      </w:pPr>
      <w:r>
        <w:rPr>
          <w:rFonts w:ascii="PingFang TC" w:hAnsi="PingFang TC"/>
          <w:b/>
          <w:color w:val="D4AF37"/>
          <w:sz w:val="18"/>
        </w:rPr>
        <w:t>2.1 《公寓大廈管理條例》第 53 條與第 31 條法制程序分析</w:t>
      </w:r>
    </w:p>
    <w:p>
      <w:pPr>
        <w:spacing w:line="276" w:lineRule="auto" w:before="20" w:after="40"/>
      </w:pPr>
      <w:r>
        <w:rPr>
          <w:rFonts w:ascii="PingFang TC" w:hAnsi="PingFang TC"/>
          <w:color w:val="1A1D20"/>
          <w:sz w:val="17"/>
        </w:rPr>
        <w:t>按《公寓大廈管理條例》第 53 條規定，多數各自獨立使用之建築物，其共同設施使用與管理具有整體不可分性之集居地區者，準用本條例。換言之，若特定分區之設施使用已不具整體不可分性，即具備管理分流之法理基礎。</w:t>
      </w:r>
    </w:p>
    <w:tbl>
      <w:tblPr>
        <w:tblW w:type="auto" w:w="0"/>
        <w:jc w:val="center"/>
        <w:tblLook w:firstColumn="1" w:firstRow="1" w:lastColumn="0" w:lastRow="0" w:noHBand="0" w:noVBand="1" w:val="04A0"/>
      </w:tblPr>
      <w:tblGrid>
        <w:gridCol w:w="9866"/>
      </w:tblGrid>
      <w:tr>
        <w:tc>
          <w:tcPr>
            <w:tcW w:type="dxa" w:w="9865"/>
            <w:shd w:fill="FFFDF5"/>
            <w:tcMar>
              <w:top w:w="50" w:type="dxa"/>
              <w:bottom w:w="50" w:type="dxa"/>
              <w:left w:w="80" w:type="dxa"/>
              <w:right w:w="80" w:type="dxa"/>
            </w:tcMar>
            <w:tcBorders>
              <w:left w:val="single" w:sz="24" w:space="0" w:color="D4AF37"/>
              <w:top w:val="none"/>
              <w:right w:val="none"/>
              <w:bottom w:val="none"/>
            </w:tcBorders>
          </w:tcPr>
          <w:p>
            <w:pPr>
              <w:spacing w:line="276" w:lineRule="auto" w:after="0"/>
            </w:pPr>
            <w:r>
              <w:rPr>
                <w:rFonts w:ascii="PingFang TC" w:hAnsi="PingFang TC"/>
                <w:b/>
                <w:color w:val="B8860B"/>
                <w:sz w:val="18"/>
              </w:rPr>
              <w:t>【合規法定程序路徑】</w:t>
              <w:br/>
            </w:r>
            <w:r>
              <w:rPr>
                <w:rFonts w:ascii="PingFang TC" w:hAnsi="PingFang TC"/>
                <w:color w:val="1A1D20"/>
                <w:sz w:val="17"/>
              </w:rPr>
              <w:t>【法定推進核心路徑】</w:t>
              <w:br/>
              <w:t>1. 實體法理：A2 大境出入、排水、給水、垃圾自理，已實質欠缺『設施整體不可分性』。</w:t>
              <w:br/>
              <w:t>2. 程序法理：依《條例》第 31 條特別決議門檻，建請管理委員會協助將本案提請富宇大地全體區分所有權人會議審議，決議修正規約第二條管理範圍（排除 A2 大境），促成合意分流。</w:t>
              <w:br/>
              <w:t>3. 行政報備：大會通過後，檢具大會會議紀錄及協議書，向主管機關申辦管理組織變更與新設立備查。</w:t>
            </w:r>
          </w:p>
        </w:tc>
      </w:tr>
    </w:tbl>
    <w:p>
      <w:pPr>
        <w:spacing w:before="80" w:after="20"/>
      </w:pPr>
      <w:r>
        <w:rPr>
          <w:rFonts w:ascii="PingFang TC" w:hAnsi="PingFang TC"/>
          <w:b/>
          <w:color w:val="D4AF37"/>
          <w:sz w:val="18"/>
        </w:rPr>
        <w:t>2.2 核心優勢一：免用子母車，生活機能完全非依賴</w:t>
      </w:r>
    </w:p>
    <w:p>
      <w:pPr>
        <w:spacing w:line="276" w:lineRule="auto" w:before="20" w:after="40"/>
      </w:pPr>
      <w:r>
        <w:rPr>
          <w:rFonts w:ascii="PingFang TC" w:hAnsi="PingFang TC"/>
          <w:color w:val="1A1D20"/>
          <w:sz w:val="17"/>
        </w:rPr>
        <w:t>A2 大境面臨市府計畫道路龍社路，為台中市環保局清潔隊定時定點定線收運範圍。大境 6 戶出門即可投遞，平日均自行等候垃圾車，完全未使用內部收費子母車。大境 6 戶出具《承諾書》，自願放棄使用大社區子母車，客觀上已無公設牽絆。</w:t>
      </w:r>
    </w:p>
    <w:p>
      <w:pPr>
        <w:spacing w:before="80" w:after="20"/>
      </w:pPr>
      <w:r>
        <w:rPr>
          <w:rFonts w:ascii="PingFang TC" w:hAnsi="PingFang TC"/>
          <w:b/>
          <w:color w:val="D4AF37"/>
          <w:sz w:val="18"/>
        </w:rPr>
        <w:t>2.3 核心優勢二：臨龍社路計畫道路，水電排污完全物理獨立</w:t>
      </w:r>
    </w:p>
    <w:p>
      <w:pPr>
        <w:spacing w:line="276" w:lineRule="auto" w:before="20" w:after="40"/>
      </w:pPr>
      <w:r>
        <w:rPr>
          <w:rFonts w:ascii="PingFang TC" w:hAnsi="PingFang TC"/>
          <w:color w:val="1A1D20"/>
          <w:sz w:val="17"/>
        </w:rPr>
        <w:t>A2 大境 6 戶基地位處外緣，出入交通直接銜接公有幹道龍社路，出入地緣具備百分之百獨立性，無袋地通行爭議。且全區自來水進水、自用電表與排污化糞系統均為各自獨立立戶或直排公共幹管，完全未接入大社區內部加壓水池或泵浦機電設備。</w:t>
      </w:r>
    </w:p>
    <w:p>
      <w:pPr>
        <w:spacing w:before="80" w:after="20"/>
      </w:pPr>
      <w:r>
        <w:rPr>
          <w:rFonts w:ascii="PingFang TC" w:hAnsi="PingFang TC"/>
          <w:b/>
          <w:color w:val="D4AF37"/>
          <w:sz w:val="18"/>
        </w:rPr>
        <w:t>2.4 核心優勢三：專款定存單獨立立卷，產權憑證清晰</w:t>
      </w:r>
    </w:p>
    <w:p>
      <w:pPr>
        <w:spacing w:line="276" w:lineRule="auto" w:before="20" w:after="40"/>
      </w:pPr>
      <w:r>
        <w:rPr>
          <w:rFonts w:ascii="PingFang TC" w:hAnsi="PingFang TC"/>
          <w:color w:val="1A1D20"/>
          <w:sz w:val="17"/>
        </w:rPr>
        <w:t>富宇大地管委會於 115 年 5 月例會議題四及 9 月財報，已將新光銀行定存單第 2 筆明確獨立開立「A2 大境定存單 NT$ 220,231 元」專單保管，帳目涇渭分明。</w:t>
      </w:r>
    </w:p>
    <w:p>
      <w:r>
        <w:br w:type="page"/>
      </w:r>
    </w:p>
    <w:p>
      <w:pPr>
        <w:spacing w:before="120" w:after="40"/>
      </w:pPr>
      <w:r>
        <w:rPr>
          <w:rFonts w:ascii="PingFang TC" w:hAnsi="PingFang TC"/>
          <w:b/>
          <w:color w:val="B8860B"/>
          <w:sz w:val="21"/>
        </w:rPr>
        <w:t>第參章：財務資產清算與自主預算模型</w:t>
      </w:r>
    </w:p>
    <w:p>
      <w:pPr>
        <w:spacing w:before="80" w:after="20"/>
      </w:pPr>
      <w:r>
        <w:rPr>
          <w:rFonts w:ascii="PingFang TC" w:hAnsi="PingFang TC"/>
          <w:b/>
          <w:color w:val="D4AF37"/>
          <w:sz w:val="18"/>
        </w:rPr>
        <w:t>3.1 A2 大境建請專案撥還移交公共基金試算表</w:t>
      </w:r>
    </w:p>
    <w:p>
      <w:pPr>
        <w:spacing w:line="276" w:lineRule="auto" w:before="20" w:after="40"/>
      </w:pPr>
      <w:r>
        <w:rPr>
          <w:rFonts w:ascii="PingFang TC" w:hAnsi="PingFang TC"/>
          <w:color w:val="1A1D20"/>
          <w:sz w:val="17"/>
        </w:rPr>
        <w:t>依據官方財報與交屋清冊，A2 大境獨立後建請大會同意專案撥還移交至大境公庫專戶之資產明細如下（金額嚴格靠右對齊）：</w:t>
      </w:r>
    </w:p>
    <w:tbl>
      <w:tblPr>
        <w:tblW w:type="auto" w:w="0"/>
        <w:jc w:val="center"/>
        <w:tblLook w:firstColumn="1" w:firstRow="1" w:lastColumn="0" w:lastRow="0" w:noHBand="0" w:noVBand="1" w:val="04A0"/>
      </w:tblPr>
      <w:tblGrid>
        <w:gridCol w:w="2466"/>
        <w:gridCol w:w="2466"/>
        <w:gridCol w:w="2466"/>
        <w:gridCol w:w="2466"/>
      </w:tblGrid>
      <w:tr>
        <w:tc>
          <w:tcPr>
            <w:tcW w:type="dxa" w:w="2466"/>
            <w:shd w:fill="1A1D20"/>
            <w:tcMar>
              <w:top w:w="50" w:type="dxa"/>
              <w:bottom w:w="50" w:type="dxa"/>
              <w:left w:w="70" w:type="dxa"/>
              <w:right w:w="70" w:type="dxa"/>
            </w:tcMar>
          </w:tcPr>
          <w:p>
            <w:pPr>
              <w:spacing w:after="0"/>
            </w:pPr>
            <w:r>
              <w:rPr>
                <w:rFonts w:ascii="PingFang TC" w:hAnsi="PingFang TC"/>
                <w:b/>
                <w:color w:val="D4AF37"/>
                <w:sz w:val="16"/>
              </w:rPr>
              <w:t>資產項目</w:t>
            </w:r>
          </w:p>
        </w:tc>
        <w:tc>
          <w:tcPr>
            <w:tcW w:type="dxa" w:w="2466"/>
            <w:shd w:fill="1A1D20"/>
            <w:tcMar>
              <w:top w:w="50" w:type="dxa"/>
              <w:bottom w:w="50" w:type="dxa"/>
              <w:left w:w="70" w:type="dxa"/>
              <w:right w:w="70" w:type="dxa"/>
            </w:tcMar>
          </w:tcPr>
          <w:p>
            <w:pPr>
              <w:spacing w:after="0"/>
              <w:jc w:val="right"/>
            </w:pPr>
            <w:r>
              <w:rPr>
                <w:rFonts w:ascii="PingFang TC" w:hAnsi="PingFang TC"/>
                <w:b/>
                <w:color w:val="D4AF37"/>
                <w:sz w:val="16"/>
              </w:rPr>
              <w:t>應移交金額 (新台幣)</w:t>
            </w:r>
          </w:p>
        </w:tc>
        <w:tc>
          <w:tcPr>
            <w:tcW w:type="dxa" w:w="2466"/>
            <w:shd w:fill="1A1D20"/>
            <w:tcMar>
              <w:top w:w="50" w:type="dxa"/>
              <w:bottom w:w="50" w:type="dxa"/>
              <w:left w:w="70" w:type="dxa"/>
              <w:right w:w="70" w:type="dxa"/>
            </w:tcMar>
          </w:tcPr>
          <w:p>
            <w:pPr>
              <w:spacing w:after="0"/>
            </w:pPr>
            <w:r>
              <w:rPr>
                <w:rFonts w:ascii="PingFang TC" w:hAnsi="PingFang TC"/>
                <w:b/>
                <w:color w:val="D4AF37"/>
                <w:sz w:val="16"/>
              </w:rPr>
              <w:t>法定依據與會議記錄證明</w:t>
            </w:r>
          </w:p>
        </w:tc>
        <w:tc>
          <w:tcPr>
            <w:tcW w:type="dxa" w:w="2466"/>
            <w:shd w:fill="1A1D20"/>
            <w:tcMar>
              <w:top w:w="50" w:type="dxa"/>
              <w:bottom w:w="50" w:type="dxa"/>
              <w:left w:w="70" w:type="dxa"/>
              <w:right w:w="70" w:type="dxa"/>
            </w:tcMar>
          </w:tcPr>
          <w:p>
            <w:pPr>
              <w:spacing w:after="0"/>
            </w:pPr>
            <w:r>
              <w:rPr>
                <w:rFonts w:ascii="PingFang TC" w:hAnsi="PingFang TC"/>
                <w:b/>
                <w:color w:val="D4AF37"/>
                <w:sz w:val="16"/>
              </w:rPr>
              <w:t>移交割離方式</w:t>
            </w:r>
          </w:p>
        </w:tc>
      </w:tr>
      <w:tr>
        <w:tc>
          <w:tcPr>
            <w:tcW w:type="dxa" w:w="2466"/>
            <w:shd w:fill="FFFFFF"/>
            <w:tcMar>
              <w:top w:w="50" w:type="dxa"/>
              <w:bottom w:w="50" w:type="dxa"/>
              <w:left w:w="70" w:type="dxa"/>
              <w:right w:w="70" w:type="dxa"/>
            </w:tcMar>
          </w:tcPr>
          <w:p>
            <w:pPr>
              <w:spacing w:after="0"/>
            </w:pPr>
            <w:r>
              <w:rPr>
                <w:rFonts w:ascii="PingFang TC" w:hAnsi="PingFang TC"/>
                <w:color w:val="1A1D20"/>
                <w:sz w:val="16"/>
              </w:rPr>
              <w:t>新光銀行 A2 大境定存單</w:t>
            </w:r>
          </w:p>
        </w:tc>
        <w:tc>
          <w:tcPr>
            <w:tcW w:type="dxa" w:w="2466"/>
            <w:shd w:fill="FFFFFF"/>
            <w:tcMar>
              <w:top w:w="50" w:type="dxa"/>
              <w:bottom w:w="50" w:type="dxa"/>
              <w:left w:w="70" w:type="dxa"/>
              <w:right w:w="70" w:type="dxa"/>
            </w:tcMar>
          </w:tcPr>
          <w:p>
            <w:pPr>
              <w:spacing w:after="0"/>
              <w:jc w:val="right"/>
            </w:pPr>
            <w:r>
              <w:rPr>
                <w:rFonts w:ascii="PingFang TC" w:hAnsi="PingFang TC"/>
                <w:color w:val="1A1D20"/>
                <w:sz w:val="16"/>
              </w:rPr>
              <w:t>NT$ 220,231 元</w:t>
              <w:br/>
              <w:t>(含孳生利息)</w:t>
            </w:r>
          </w:p>
        </w:tc>
        <w:tc>
          <w:tcPr>
            <w:tcW w:type="dxa" w:w="2466"/>
            <w:shd w:fill="FFFFFF"/>
            <w:tcMar>
              <w:top w:w="50" w:type="dxa"/>
              <w:bottom w:w="50" w:type="dxa"/>
              <w:left w:w="70" w:type="dxa"/>
              <w:right w:w="70" w:type="dxa"/>
            </w:tcMar>
          </w:tcPr>
          <w:p>
            <w:pPr>
              <w:spacing w:after="0"/>
            </w:pPr>
            <w:r>
              <w:rPr>
                <w:rFonts w:ascii="PingFang TC" w:hAnsi="PingFang TC"/>
                <w:color w:val="1A1D20"/>
                <w:sz w:val="16"/>
              </w:rPr>
              <w:t>115.05.06 例會議題四決議</w:t>
              <w:br/>
              <w:t>115.09.08 例會財務報表</w:t>
            </w:r>
          </w:p>
        </w:tc>
        <w:tc>
          <w:tcPr>
            <w:tcW w:type="dxa" w:w="2466"/>
            <w:shd w:fill="FFFFFF"/>
            <w:tcMar>
              <w:top w:w="50" w:type="dxa"/>
              <w:bottom w:w="50" w:type="dxa"/>
              <w:left w:w="70" w:type="dxa"/>
              <w:right w:w="70" w:type="dxa"/>
            </w:tcMar>
          </w:tcPr>
          <w:p>
            <w:pPr>
              <w:spacing w:after="0"/>
            </w:pPr>
            <w:r>
              <w:rPr>
                <w:rFonts w:ascii="PingFang TC" w:hAnsi="PingFang TC"/>
                <w:color w:val="1A1D20"/>
                <w:sz w:val="16"/>
              </w:rPr>
              <w:t>定存解約或辦理存單抬頭更名移轉予富宇大境公庫專戶</w:t>
            </w:r>
          </w:p>
        </w:tc>
      </w:tr>
      <w:tr>
        <w:tc>
          <w:tcPr>
            <w:tcW w:type="dxa" w:w="2466"/>
            <w:shd w:fill="FAF8F2"/>
            <w:tcMar>
              <w:top w:w="50" w:type="dxa"/>
              <w:bottom w:w="50" w:type="dxa"/>
              <w:left w:w="70" w:type="dxa"/>
              <w:right w:w="70" w:type="dxa"/>
            </w:tcMar>
          </w:tcPr>
          <w:p>
            <w:pPr>
              <w:spacing w:after="0"/>
            </w:pPr>
            <w:r>
              <w:rPr>
                <w:rFonts w:ascii="PingFang TC" w:hAnsi="PingFang TC"/>
                <w:color w:val="1A1D20"/>
                <w:sz w:val="16"/>
              </w:rPr>
              <w:t>富宇建設交屋管理基金</w:t>
            </w:r>
          </w:p>
        </w:tc>
        <w:tc>
          <w:tcPr>
            <w:tcW w:type="dxa" w:w="2466"/>
            <w:shd w:fill="FAF8F2"/>
            <w:tcMar>
              <w:top w:w="50" w:type="dxa"/>
              <w:bottom w:w="50" w:type="dxa"/>
              <w:left w:w="70" w:type="dxa"/>
              <w:right w:w="70" w:type="dxa"/>
            </w:tcMar>
          </w:tcPr>
          <w:p>
            <w:pPr>
              <w:spacing w:after="0"/>
              <w:jc w:val="right"/>
            </w:pPr>
            <w:r>
              <w:rPr>
                <w:rFonts w:ascii="PingFang TC" w:hAnsi="PingFang TC"/>
                <w:color w:val="1A1D20"/>
                <w:sz w:val="16"/>
              </w:rPr>
              <w:t>NT$ 60,000 元</w:t>
              <w:br/>
              <w:t>($10,000 × 6 戶)</w:t>
            </w:r>
          </w:p>
        </w:tc>
        <w:tc>
          <w:tcPr>
            <w:tcW w:type="dxa" w:w="2466"/>
            <w:shd w:fill="FAF8F2"/>
            <w:tcMar>
              <w:top w:w="50" w:type="dxa"/>
              <w:bottom w:w="50" w:type="dxa"/>
              <w:left w:w="70" w:type="dxa"/>
              <w:right w:w="70" w:type="dxa"/>
            </w:tcMar>
          </w:tcPr>
          <w:p>
            <w:pPr>
              <w:spacing w:after="0"/>
            </w:pPr>
            <w:r>
              <w:rPr>
                <w:rFonts w:ascii="PingFang TC" w:hAnsi="PingFang TC"/>
                <w:color w:val="1A1D20"/>
                <w:sz w:val="16"/>
              </w:rPr>
              <w:t>115.05.05 富宇支票 241 萬入帳</w:t>
              <w:br/>
              <w:t>(241 戶每戶 1 萬交屋基金)</w:t>
            </w:r>
          </w:p>
        </w:tc>
        <w:tc>
          <w:tcPr>
            <w:tcW w:type="dxa" w:w="2466"/>
            <w:shd w:fill="FAF8F2"/>
            <w:tcMar>
              <w:top w:w="50" w:type="dxa"/>
              <w:bottom w:w="50" w:type="dxa"/>
              <w:left w:w="70" w:type="dxa"/>
              <w:right w:w="70" w:type="dxa"/>
            </w:tcMar>
          </w:tcPr>
          <w:p>
            <w:pPr>
              <w:spacing w:after="0"/>
            </w:pPr>
            <w:r>
              <w:rPr>
                <w:rFonts w:ascii="PingFang TC" w:hAnsi="PingFang TC"/>
                <w:color w:val="1A1D20"/>
                <w:sz w:val="16"/>
              </w:rPr>
              <w:t>由母體管委會開立支票專案撥還 A2 大境 6 戶交屋基金</w:t>
            </w:r>
          </w:p>
        </w:tc>
      </w:tr>
      <w:tr>
        <w:tc>
          <w:tcPr>
            <w:tcW w:type="dxa" w:w="2466"/>
            <w:shd w:fill="FFFFFF"/>
            <w:tcMar>
              <w:top w:w="50" w:type="dxa"/>
              <w:bottom w:w="50" w:type="dxa"/>
              <w:left w:w="70" w:type="dxa"/>
              <w:right w:w="70" w:type="dxa"/>
            </w:tcMar>
          </w:tcPr>
          <w:p>
            <w:pPr>
              <w:spacing w:after="0"/>
            </w:pPr>
            <w:r>
              <w:rPr>
                <w:rFonts w:ascii="PingFang TC" w:hAnsi="PingFang TC"/>
                <w:color w:val="1A1D20"/>
                <w:sz w:val="16"/>
              </w:rPr>
              <w:t>5~9 月管理費結餘退款</w:t>
            </w:r>
          </w:p>
        </w:tc>
        <w:tc>
          <w:tcPr>
            <w:tcW w:type="dxa" w:w="2466"/>
            <w:shd w:fill="FFFFFF"/>
            <w:tcMar>
              <w:top w:w="50" w:type="dxa"/>
              <w:bottom w:w="50" w:type="dxa"/>
              <w:left w:w="70" w:type="dxa"/>
              <w:right w:w="70" w:type="dxa"/>
            </w:tcMar>
          </w:tcPr>
          <w:p>
            <w:pPr>
              <w:spacing w:after="0"/>
              <w:jc w:val="right"/>
            </w:pPr>
            <w:r>
              <w:rPr>
                <w:rFonts w:ascii="PingFang TC" w:hAnsi="PingFang TC"/>
                <w:color w:val="1A1D20"/>
                <w:sz w:val="16"/>
              </w:rPr>
              <w:t>約 NT$ 4,500 元</w:t>
              <w:br/>
              <w:t>(會計清算結餘)</w:t>
            </w:r>
          </w:p>
        </w:tc>
        <w:tc>
          <w:tcPr>
            <w:tcW w:type="dxa" w:w="2466"/>
            <w:shd w:fill="FFFFFF"/>
            <w:tcMar>
              <w:top w:w="50" w:type="dxa"/>
              <w:bottom w:w="50" w:type="dxa"/>
              <w:left w:w="70" w:type="dxa"/>
              <w:right w:w="70" w:type="dxa"/>
            </w:tcMar>
          </w:tcPr>
          <w:p>
            <w:pPr>
              <w:spacing w:after="0"/>
            </w:pPr>
            <w:r>
              <w:rPr>
                <w:rFonts w:ascii="PingFang TC" w:hAnsi="PingFang TC"/>
                <w:color w:val="1A1D20"/>
                <w:sz w:val="16"/>
              </w:rPr>
              <w:t>A2 繳交 30,000 元，扣除公電水電分攤之結餘</w:t>
            </w:r>
          </w:p>
        </w:tc>
        <w:tc>
          <w:tcPr>
            <w:tcW w:type="dxa" w:w="2466"/>
            <w:shd w:fill="FFFFFF"/>
            <w:tcMar>
              <w:top w:w="50" w:type="dxa"/>
              <w:bottom w:w="50" w:type="dxa"/>
              <w:left w:w="70" w:type="dxa"/>
              <w:right w:w="70" w:type="dxa"/>
            </w:tcMar>
          </w:tcPr>
          <w:p>
            <w:pPr>
              <w:spacing w:after="0"/>
            </w:pPr>
            <w:r>
              <w:rPr>
                <w:rFonts w:ascii="PingFang TC" w:hAnsi="PingFang TC"/>
                <w:color w:val="1A1D20"/>
                <w:sz w:val="16"/>
              </w:rPr>
              <w:t>經監察委員與財務委員清算後由活存專戶電匯撥付</w:t>
            </w:r>
          </w:p>
        </w:tc>
      </w:tr>
      <w:tr>
        <w:tc>
          <w:tcPr>
            <w:tcW w:type="dxa" w:w="2466"/>
            <w:shd w:fill="FFFDF5"/>
            <w:tcMar>
              <w:top w:w="50" w:type="dxa"/>
              <w:bottom w:w="50" w:type="dxa"/>
              <w:left w:w="70" w:type="dxa"/>
              <w:right w:w="70" w:type="dxa"/>
            </w:tcMar>
          </w:tcPr>
          <w:p>
            <w:pPr>
              <w:spacing w:after="0"/>
            </w:pPr>
            <w:r>
              <w:rPr>
                <w:rFonts w:ascii="PingFang TC" w:hAnsi="PingFang TC"/>
                <w:b/>
                <w:color w:val="B8860B"/>
                <w:sz w:val="16"/>
              </w:rPr>
              <w:t>合計建請撥還專款總額</w:t>
            </w:r>
          </w:p>
        </w:tc>
        <w:tc>
          <w:tcPr>
            <w:tcW w:type="dxa" w:w="2466"/>
            <w:shd w:fill="FFFDF5"/>
            <w:tcMar>
              <w:top w:w="50" w:type="dxa"/>
              <w:bottom w:w="50" w:type="dxa"/>
              <w:left w:w="70" w:type="dxa"/>
              <w:right w:w="70" w:type="dxa"/>
            </w:tcMar>
          </w:tcPr>
          <w:p>
            <w:pPr>
              <w:spacing w:after="0"/>
              <w:jc w:val="right"/>
            </w:pPr>
            <w:r>
              <w:rPr>
                <w:rFonts w:ascii="PingFang TC" w:hAnsi="PingFang TC"/>
                <w:b/>
                <w:color w:val="B8860B"/>
                <w:sz w:val="16"/>
              </w:rPr>
              <w:t>NT$ 284,731 元整</w:t>
            </w:r>
          </w:p>
        </w:tc>
        <w:tc>
          <w:tcPr>
            <w:tcW w:type="dxa" w:w="2466"/>
            <w:shd w:fill="FFFDF5"/>
            <w:tcMar>
              <w:top w:w="50" w:type="dxa"/>
              <w:bottom w:w="50" w:type="dxa"/>
              <w:left w:w="70" w:type="dxa"/>
              <w:right w:w="70" w:type="dxa"/>
            </w:tcMar>
          </w:tcPr>
          <w:p>
            <w:pPr>
              <w:spacing w:after="0"/>
            </w:pPr>
            <w:r>
              <w:rPr>
                <w:rFonts w:ascii="PingFang TC" w:hAnsi="PingFang TC"/>
                <w:b/>
                <w:color w:val="B8860B"/>
                <w:sz w:val="16"/>
              </w:rPr>
              <w:t>大境獨立後公庫專管之專屬儲備老本</w:t>
            </w:r>
          </w:p>
        </w:tc>
        <w:tc>
          <w:tcPr>
            <w:tcW w:type="dxa" w:w="2466"/>
            <w:shd w:fill="FFFDF5"/>
            <w:tcMar>
              <w:top w:w="50" w:type="dxa"/>
              <w:bottom w:w="50" w:type="dxa"/>
              <w:left w:w="70" w:type="dxa"/>
              <w:right w:w="70" w:type="dxa"/>
            </w:tcMar>
          </w:tcPr>
          <w:p>
            <w:pPr>
              <w:spacing w:after="0"/>
            </w:pPr>
            <w:r>
              <w:rPr>
                <w:rFonts w:ascii="PingFang TC" w:hAnsi="PingFang TC"/>
                <w:b/>
                <w:color w:val="B8860B"/>
                <w:sz w:val="16"/>
              </w:rPr>
              <w:t>大境管委會開戶後一次性撥入專戶保管</w:t>
            </w:r>
          </w:p>
        </w:tc>
      </w:tr>
    </w:tbl>
    <w:p>
      <w:pPr>
        <w:spacing w:before="80" w:after="20"/>
      </w:pPr>
      <w:r>
        <w:rPr>
          <w:rFonts w:ascii="PingFang TC" w:hAnsi="PingFang TC"/>
          <w:b/>
          <w:color w:val="D4AF37"/>
          <w:sz w:val="18"/>
        </w:rPr>
        <w:t>3.2 分割後大境 6 戶自主財務預算模型（實質負擔優化）</w:t>
      </w:r>
    </w:p>
    <w:p>
      <w:pPr>
        <w:spacing w:line="276" w:lineRule="auto" w:before="20" w:after="40"/>
      </w:pPr>
      <w:r>
        <w:rPr>
          <w:rFonts w:ascii="PingFang TC" w:hAnsi="PingFang TC"/>
          <w:color w:val="1A1D20"/>
          <w:sz w:val="17"/>
        </w:rPr>
        <w:t>獨立成立「富宇大境管委會」後，6 戶透天別墅維護極度純粹。每戶每月建議管理費自原先的 $1,000 元調降至 $400 元（實際收費金額由大境首屆管委會及規約大會審定）：</w:t>
      </w:r>
    </w:p>
    <w:tbl>
      <w:tblPr>
        <w:tblW w:type="auto" w:w="0"/>
        <w:jc w:val="center"/>
        <w:tblLook w:firstColumn="1" w:firstRow="1" w:lastColumn="0" w:lastRow="0" w:noHBand="0" w:noVBand="1" w:val="04A0"/>
      </w:tblPr>
      <w:tblGrid>
        <w:gridCol w:w="3289"/>
        <w:gridCol w:w="3289"/>
        <w:gridCol w:w="3289"/>
      </w:tblGrid>
      <w:tr>
        <w:tc>
          <w:tcPr>
            <w:tcW w:type="dxa" w:w="3289"/>
            <w:shd w:fill="1A1D20"/>
            <w:tcMar>
              <w:top w:w="45" w:type="dxa"/>
              <w:bottom w:w="45" w:type="dxa"/>
              <w:left w:w="70" w:type="dxa"/>
              <w:right w:w="70" w:type="dxa"/>
            </w:tcMar>
          </w:tcPr>
          <w:p>
            <w:pPr>
              <w:spacing w:after="0"/>
            </w:pPr>
            <w:r>
              <w:rPr>
                <w:rFonts w:ascii="PingFang TC" w:hAnsi="PingFang TC"/>
                <w:b/>
                <w:color w:val="D4AF37"/>
                <w:sz w:val="16"/>
              </w:rPr>
              <w:t>收支項目</w:t>
            </w:r>
          </w:p>
        </w:tc>
        <w:tc>
          <w:tcPr>
            <w:tcW w:type="dxa" w:w="3289"/>
            <w:shd w:fill="1A1D20"/>
            <w:tcMar>
              <w:top w:w="45" w:type="dxa"/>
              <w:bottom w:w="45" w:type="dxa"/>
              <w:left w:w="70" w:type="dxa"/>
              <w:right w:w="70" w:type="dxa"/>
            </w:tcMar>
          </w:tcPr>
          <w:p>
            <w:pPr>
              <w:spacing w:after="0"/>
              <w:jc w:val="right"/>
            </w:pPr>
            <w:r>
              <w:rPr>
                <w:rFonts w:ascii="PingFang TC" w:hAnsi="PingFang TC"/>
                <w:b/>
                <w:color w:val="D4AF37"/>
                <w:sz w:val="16"/>
              </w:rPr>
              <w:t>每月金額 (新台幣)</w:t>
            </w:r>
          </w:p>
        </w:tc>
        <w:tc>
          <w:tcPr>
            <w:tcW w:type="dxa" w:w="3289"/>
            <w:shd w:fill="1A1D20"/>
            <w:tcMar>
              <w:top w:w="45" w:type="dxa"/>
              <w:bottom w:w="45" w:type="dxa"/>
              <w:left w:w="70" w:type="dxa"/>
              <w:right w:w="70" w:type="dxa"/>
            </w:tcMar>
          </w:tcPr>
          <w:p>
            <w:pPr>
              <w:spacing w:after="0"/>
            </w:pPr>
            <w:r>
              <w:rPr>
                <w:rFonts w:ascii="PingFang TC" w:hAnsi="PingFang TC"/>
                <w:b/>
                <w:color w:val="D4AF37"/>
                <w:sz w:val="16"/>
              </w:rPr>
              <w:t>年度金額 (新台幣) / 說明</w:t>
            </w:r>
          </w:p>
        </w:tc>
      </w:tr>
      <w:tr>
        <w:tc>
          <w:tcPr>
            <w:tcW w:type="dxa" w:w="3289"/>
            <w:shd w:fill="FFFFFF"/>
            <w:tcMar>
              <w:top w:w="45" w:type="dxa"/>
              <w:bottom w:w="45" w:type="dxa"/>
              <w:left w:w="70" w:type="dxa"/>
              <w:right w:w="70" w:type="dxa"/>
            </w:tcMar>
          </w:tcPr>
          <w:p>
            <w:pPr>
              <w:spacing w:after="0"/>
            </w:pPr>
            <w:r>
              <w:rPr>
                <w:rFonts w:ascii="PingFang TC" w:hAnsi="PingFang TC"/>
                <w:color w:val="1A1D20"/>
                <w:sz w:val="16"/>
              </w:rPr>
              <w:t>管理費收入 (以每戶 $400 試算)</w:t>
            </w:r>
          </w:p>
        </w:tc>
        <w:tc>
          <w:tcPr>
            <w:tcW w:type="dxa" w:w="3289"/>
            <w:shd w:fill="FFFFFF"/>
            <w:tcMar>
              <w:top w:w="45" w:type="dxa"/>
              <w:bottom w:w="45" w:type="dxa"/>
              <w:left w:w="70" w:type="dxa"/>
              <w:right w:w="70" w:type="dxa"/>
            </w:tcMar>
          </w:tcPr>
          <w:p>
            <w:pPr>
              <w:spacing w:after="0"/>
              <w:jc w:val="right"/>
            </w:pPr>
            <w:r>
              <w:rPr>
                <w:rFonts w:ascii="PingFang TC" w:hAnsi="PingFang TC"/>
                <w:color w:val="1A1D20"/>
                <w:sz w:val="16"/>
              </w:rPr>
              <w:t>+ NT$ 2,400 元</w:t>
            </w:r>
          </w:p>
        </w:tc>
        <w:tc>
          <w:tcPr>
            <w:tcW w:type="dxa" w:w="3289"/>
            <w:shd w:fill="FFFFFF"/>
            <w:tcMar>
              <w:top w:w="45" w:type="dxa"/>
              <w:bottom w:w="45" w:type="dxa"/>
              <w:left w:w="70" w:type="dxa"/>
              <w:right w:w="70" w:type="dxa"/>
            </w:tcMar>
          </w:tcPr>
          <w:p>
            <w:pPr>
              <w:spacing w:after="0"/>
            </w:pPr>
            <w:r>
              <w:rPr>
                <w:rFonts w:ascii="PingFang TC" w:hAnsi="PingFang TC"/>
                <w:color w:val="1A1D20"/>
                <w:sz w:val="16"/>
              </w:rPr>
              <w:t>+ NT$ 28,800 元 (6 戶全收，負擔大幅減輕 60%)</w:t>
            </w:r>
          </w:p>
        </w:tc>
      </w:tr>
      <w:tr>
        <w:tc>
          <w:tcPr>
            <w:tcW w:type="dxa" w:w="3289"/>
            <w:shd w:fill="FAF8F2"/>
            <w:tcMar>
              <w:top w:w="45" w:type="dxa"/>
              <w:bottom w:w="45" w:type="dxa"/>
              <w:left w:w="70" w:type="dxa"/>
              <w:right w:w="70" w:type="dxa"/>
            </w:tcMar>
          </w:tcPr>
          <w:p>
            <w:pPr>
              <w:spacing w:after="0"/>
            </w:pPr>
            <w:r>
              <w:rPr>
                <w:rFonts w:ascii="PingFang TC" w:hAnsi="PingFang TC"/>
                <w:color w:val="1A1D20"/>
                <w:sz w:val="16"/>
              </w:rPr>
              <w:t>公共路燈與設施用電 (台電分攤)</w:t>
            </w:r>
          </w:p>
        </w:tc>
        <w:tc>
          <w:tcPr>
            <w:tcW w:type="dxa" w:w="3289"/>
            <w:shd w:fill="FAF8F2"/>
            <w:tcMar>
              <w:top w:w="45" w:type="dxa"/>
              <w:bottom w:w="45" w:type="dxa"/>
              <w:left w:w="70" w:type="dxa"/>
              <w:right w:w="70" w:type="dxa"/>
            </w:tcMar>
          </w:tcPr>
          <w:p>
            <w:pPr>
              <w:spacing w:after="0"/>
              <w:jc w:val="right"/>
            </w:pPr>
            <w:r>
              <w:rPr>
                <w:rFonts w:ascii="PingFang TC" w:hAnsi="PingFang TC"/>
                <w:color w:val="1A1D20"/>
                <w:sz w:val="16"/>
              </w:rPr>
              <w:t>- NT$ 400 元</w:t>
            </w:r>
          </w:p>
        </w:tc>
        <w:tc>
          <w:tcPr>
            <w:tcW w:type="dxa" w:w="3289"/>
            <w:shd w:fill="FAF8F2"/>
            <w:tcMar>
              <w:top w:w="45" w:type="dxa"/>
              <w:bottom w:w="45" w:type="dxa"/>
              <w:left w:w="70" w:type="dxa"/>
              <w:right w:w="70" w:type="dxa"/>
            </w:tcMar>
          </w:tcPr>
          <w:p>
            <w:pPr>
              <w:spacing w:after="0"/>
            </w:pPr>
            <w:r>
              <w:rPr>
                <w:rFonts w:ascii="PingFang TC" w:hAnsi="PingFang TC"/>
                <w:color w:val="1A1D20"/>
                <w:sz w:val="16"/>
              </w:rPr>
              <w:t>- NT$ 4,800 元 (門前路燈與局部公電)</w:t>
            </w:r>
          </w:p>
        </w:tc>
      </w:tr>
      <w:tr>
        <w:tc>
          <w:tcPr>
            <w:tcW w:type="dxa" w:w="3289"/>
            <w:shd w:fill="FFFFFF"/>
            <w:tcMar>
              <w:top w:w="45" w:type="dxa"/>
              <w:bottom w:w="45" w:type="dxa"/>
              <w:left w:w="70" w:type="dxa"/>
              <w:right w:w="70" w:type="dxa"/>
            </w:tcMar>
          </w:tcPr>
          <w:p>
            <w:pPr>
              <w:spacing w:after="0"/>
            </w:pPr>
            <w:r>
              <w:rPr>
                <w:rFonts w:ascii="PingFang TC" w:hAnsi="PingFang TC"/>
                <w:color w:val="1A1D20"/>
                <w:sz w:val="16"/>
              </w:rPr>
              <w:t>公共意外責任險與規費雜支</w:t>
            </w:r>
          </w:p>
        </w:tc>
        <w:tc>
          <w:tcPr>
            <w:tcW w:type="dxa" w:w="3289"/>
            <w:shd w:fill="FFFFFF"/>
            <w:tcMar>
              <w:top w:w="45" w:type="dxa"/>
              <w:bottom w:w="45" w:type="dxa"/>
              <w:left w:w="70" w:type="dxa"/>
              <w:right w:w="70" w:type="dxa"/>
            </w:tcMar>
          </w:tcPr>
          <w:p>
            <w:pPr>
              <w:spacing w:after="0"/>
              <w:jc w:val="right"/>
            </w:pPr>
            <w:r>
              <w:rPr>
                <w:rFonts w:ascii="PingFang TC" w:hAnsi="PingFang TC"/>
                <w:color w:val="1A1D20"/>
                <w:sz w:val="16"/>
              </w:rPr>
              <w:t>- NT$ 200 元</w:t>
            </w:r>
          </w:p>
        </w:tc>
        <w:tc>
          <w:tcPr>
            <w:tcW w:type="dxa" w:w="3289"/>
            <w:shd w:fill="FFFFFF"/>
            <w:tcMar>
              <w:top w:w="45" w:type="dxa"/>
              <w:bottom w:w="45" w:type="dxa"/>
              <w:left w:w="70" w:type="dxa"/>
              <w:right w:w="70" w:type="dxa"/>
            </w:tcMar>
          </w:tcPr>
          <w:p>
            <w:pPr>
              <w:spacing w:after="0"/>
            </w:pPr>
            <w:r>
              <w:rPr>
                <w:rFonts w:ascii="PingFang TC" w:hAnsi="PingFang TC"/>
                <w:color w:val="1A1D20"/>
                <w:sz w:val="16"/>
              </w:rPr>
              <w:t>- NT$ 2,400 元 (法定責任保險、郵資、文具印鑑)</w:t>
            </w:r>
          </w:p>
        </w:tc>
      </w:tr>
      <w:tr>
        <w:tc>
          <w:tcPr>
            <w:tcW w:type="dxa" w:w="3289"/>
            <w:shd w:fill="FAF8F2"/>
            <w:tcMar>
              <w:top w:w="45" w:type="dxa"/>
              <w:bottom w:w="45" w:type="dxa"/>
              <w:left w:w="70" w:type="dxa"/>
              <w:right w:w="70" w:type="dxa"/>
            </w:tcMar>
          </w:tcPr>
          <w:p>
            <w:pPr>
              <w:spacing w:after="0"/>
            </w:pPr>
            <w:r>
              <w:rPr>
                <w:rFonts w:ascii="PingFang TC" w:hAnsi="PingFang TC"/>
                <w:color w:val="1A1D20"/>
                <w:sz w:val="16"/>
              </w:rPr>
              <w:t>垃圾清運支出</w:t>
            </w:r>
          </w:p>
        </w:tc>
        <w:tc>
          <w:tcPr>
            <w:tcW w:type="dxa" w:w="3289"/>
            <w:shd w:fill="FAF8F2"/>
            <w:tcMar>
              <w:top w:w="45" w:type="dxa"/>
              <w:bottom w:w="45" w:type="dxa"/>
              <w:left w:w="70" w:type="dxa"/>
              <w:right w:w="70" w:type="dxa"/>
            </w:tcMar>
          </w:tcPr>
          <w:p>
            <w:pPr>
              <w:spacing w:after="0"/>
              <w:jc w:val="right"/>
            </w:pPr>
            <w:r>
              <w:rPr>
                <w:rFonts w:ascii="PingFang TC" w:hAnsi="PingFang TC"/>
                <w:color w:val="1A1D20"/>
                <w:sz w:val="16"/>
              </w:rPr>
              <w:t>NT$ 0 元</w:t>
            </w:r>
          </w:p>
        </w:tc>
        <w:tc>
          <w:tcPr>
            <w:tcW w:type="dxa" w:w="3289"/>
            <w:shd w:fill="FAF8F2"/>
            <w:tcMar>
              <w:top w:w="45" w:type="dxa"/>
              <w:bottom w:w="45" w:type="dxa"/>
              <w:left w:w="70" w:type="dxa"/>
              <w:right w:w="70" w:type="dxa"/>
            </w:tcMar>
          </w:tcPr>
          <w:p>
            <w:pPr>
              <w:spacing w:after="0"/>
            </w:pPr>
            <w:r>
              <w:rPr>
                <w:rFonts w:ascii="PingFang TC" w:hAnsi="PingFang TC"/>
                <w:color w:val="1A1D20"/>
                <w:sz w:val="16"/>
              </w:rPr>
              <w:t>NT$ 0 元 (門前自行等市府免費公車型垃圾車)</w:t>
            </w:r>
          </w:p>
        </w:tc>
      </w:tr>
      <w:tr>
        <w:tc>
          <w:tcPr>
            <w:tcW w:type="dxa" w:w="3289"/>
            <w:shd w:fill="FFFDF5"/>
            <w:tcMar>
              <w:top w:w="45" w:type="dxa"/>
              <w:bottom w:w="45" w:type="dxa"/>
              <w:left w:w="70" w:type="dxa"/>
              <w:right w:w="70" w:type="dxa"/>
            </w:tcMar>
          </w:tcPr>
          <w:p>
            <w:pPr>
              <w:spacing w:after="0"/>
            </w:pPr>
            <w:r>
              <w:rPr>
                <w:rFonts w:ascii="PingFang TC" w:hAnsi="PingFang TC"/>
                <w:b/>
                <w:color w:val="B8860B"/>
                <w:sz w:val="16"/>
              </w:rPr>
              <w:t>每月常態盈餘 / 公共基金提撥</w:t>
            </w:r>
          </w:p>
        </w:tc>
        <w:tc>
          <w:tcPr>
            <w:tcW w:type="dxa" w:w="3289"/>
            <w:shd w:fill="FFFDF5"/>
            <w:tcMar>
              <w:top w:w="45" w:type="dxa"/>
              <w:bottom w:w="45" w:type="dxa"/>
              <w:left w:w="70" w:type="dxa"/>
              <w:right w:w="70" w:type="dxa"/>
            </w:tcMar>
          </w:tcPr>
          <w:p>
            <w:pPr>
              <w:spacing w:after="0"/>
              <w:jc w:val="right"/>
            </w:pPr>
            <w:r>
              <w:rPr>
                <w:rFonts w:ascii="PingFang TC" w:hAnsi="PingFang TC"/>
                <w:b/>
                <w:color w:val="B8860B"/>
                <w:sz w:val="16"/>
              </w:rPr>
              <w:t>+ NT$ 1,800 元</w:t>
            </w:r>
          </w:p>
        </w:tc>
        <w:tc>
          <w:tcPr>
            <w:tcW w:type="dxa" w:w="3289"/>
            <w:shd w:fill="FFFDF5"/>
            <w:tcMar>
              <w:top w:w="45" w:type="dxa"/>
              <w:bottom w:w="45" w:type="dxa"/>
              <w:left w:w="70" w:type="dxa"/>
              <w:right w:w="70" w:type="dxa"/>
            </w:tcMar>
          </w:tcPr>
          <w:p>
            <w:pPr>
              <w:spacing w:after="0"/>
            </w:pPr>
            <w:r>
              <w:rPr>
                <w:rFonts w:ascii="PingFang TC" w:hAnsi="PingFang TC"/>
                <w:b/>
                <w:color w:val="B8860B"/>
                <w:sz w:val="16"/>
              </w:rPr>
              <w:t>+ NT$ 21,600 元 (轉入公庫定存滾存，老本穩健增長)</w:t>
            </w:r>
          </w:p>
        </w:tc>
      </w:tr>
    </w:tbl>
    <w:p>
      <w:r>
        <w:br w:type="page"/>
      </w:r>
    </w:p>
    <w:p>
      <w:pPr>
        <w:spacing w:before="120" w:after="40"/>
      </w:pPr>
      <w:r>
        <w:rPr>
          <w:rFonts w:ascii="PingFang TC" w:hAnsi="PingFang TC"/>
          <w:b/>
          <w:color w:val="B8860B"/>
          <w:sz w:val="21"/>
        </w:rPr>
        <w:t>第肆章：五大推動階段與標準作業程序（SOP）</w:t>
      </w:r>
    </w:p>
    <w:p>
      <w:pPr>
        <w:spacing w:line="276" w:lineRule="auto" w:before="20" w:after="40"/>
      </w:pPr>
      <w:r>
        <w:rPr>
          <w:rFonts w:ascii="PingFang TC" w:hAnsi="PingFang TC"/>
          <w:color w:val="1A1D20"/>
          <w:sz w:val="17"/>
        </w:rPr>
        <w:t>富宇大境分割之推動，兼顧法律程序的正當性與行政審查的嚴謹性，標準推動 SOP 劃分為五大階段：</w:t>
      </w:r>
    </w:p>
    <w:p>
      <w:pPr>
        <w:spacing w:before="80" w:after="20"/>
      </w:pPr>
      <w:r>
        <w:rPr>
          <w:rFonts w:ascii="PingFang TC" w:hAnsi="PingFang TC"/>
          <w:b/>
          <w:color w:val="D4AF37"/>
          <w:sz w:val="18"/>
        </w:rPr>
        <w:t>階段一：A2 大境內部 100% 連署凝聚（共識準備與專案委任）</w:t>
      </w:r>
    </w:p>
    <w:p>
      <w:pPr>
        <w:spacing w:line="276" w:lineRule="auto" w:before="20" w:after="40"/>
      </w:pPr>
      <w:r>
        <w:rPr>
          <w:rFonts w:ascii="PingFang TC" w:hAnsi="PingFang TC"/>
          <w:color w:val="1A1D20"/>
          <w:sz w:val="17"/>
        </w:rPr>
        <w:t>• 召開大境 6 戶客廳會，共同推選廖倫豪為專案受託召集人兼法定代理人。</w:t>
      </w:r>
    </w:p>
    <w:p>
      <w:pPr>
        <w:spacing w:line="276" w:lineRule="auto" w:before="20" w:after="40"/>
      </w:pPr>
      <w:r>
        <w:rPr>
          <w:rFonts w:ascii="PingFang TC" w:hAnsi="PingFang TC"/>
          <w:color w:val="1A1D20"/>
          <w:sz w:val="17"/>
        </w:rPr>
        <w:t>• 簽署《提案申請書暨全體連署同意書》與《專案全權委任授權書》，取得 6 戶區權人 100% 親筆簽章。</w:t>
      </w:r>
    </w:p>
    <w:p>
      <w:pPr>
        <w:spacing w:line="276" w:lineRule="auto" w:before="20" w:after="40"/>
      </w:pPr>
      <w:r>
        <w:rPr>
          <w:rFonts w:ascii="PingFang TC" w:hAnsi="PingFang TC"/>
          <w:color w:val="1A1D20"/>
          <w:sz w:val="17"/>
        </w:rPr>
        <w:t>• 備齊地籍圖、會議記錄與切結書，完成全套法定卷宗立案。</w:t>
      </w:r>
    </w:p>
    <w:p>
      <w:pPr>
        <w:spacing w:before="80" w:after="20"/>
      </w:pPr>
      <w:r>
        <w:rPr>
          <w:rFonts w:ascii="PingFang TC" w:hAnsi="PingFang TC"/>
          <w:b/>
          <w:color w:val="D4AF37"/>
          <w:sz w:val="18"/>
        </w:rPr>
        <w:t>階段二：向富宇大地管委會正式提案（溝通與列入例會議程）</w:t>
      </w:r>
    </w:p>
    <w:p>
      <w:pPr>
        <w:spacing w:line="276" w:lineRule="auto" w:before="20" w:after="40"/>
      </w:pPr>
      <w:r>
        <w:rPr>
          <w:rFonts w:ascii="PingFang TC" w:hAnsi="PingFang TC"/>
          <w:color w:val="1A1D20"/>
          <w:sz w:val="17"/>
        </w:rPr>
        <w:t>• 由受託召集人以書面正式發函向富宇大地第二屆管委會提案，列入例行會議審議。</w:t>
      </w:r>
    </w:p>
    <w:p>
      <w:pPr>
        <w:spacing w:line="276" w:lineRule="auto" w:before="20" w:after="40"/>
      </w:pPr>
      <w:r>
        <w:rPr>
          <w:rFonts w:ascii="PingFang TC" w:hAnsi="PingFang TC"/>
          <w:color w:val="1A1D20"/>
          <w:sz w:val="17"/>
        </w:rPr>
        <w:t>• 雙贏溝通策略：證明大境定存 22 萬原本就是獨立存單，分割不影響大社區 760 萬老本；大境退出子母車使用，大社區垃圾容量更充裕；物業經理免除巡查負擔。</w:t>
      </w:r>
    </w:p>
    <w:p>
      <w:pPr>
        <w:spacing w:before="80" w:after="20"/>
      </w:pPr>
      <w:r>
        <w:rPr>
          <w:rFonts w:ascii="PingFang TC" w:hAnsi="PingFang TC"/>
          <w:b/>
          <w:color w:val="D4AF37"/>
          <w:sz w:val="18"/>
        </w:rPr>
        <w:t>階段三：提請區分所有權人會議審議（大會特別決議）</w:t>
      </w:r>
    </w:p>
    <w:p>
      <w:pPr>
        <w:spacing w:line="276" w:lineRule="auto" w:before="20" w:after="40"/>
      </w:pPr>
      <w:r>
        <w:rPr>
          <w:rFonts w:ascii="PingFang TC" w:hAnsi="PingFang TC"/>
          <w:color w:val="1A1D20"/>
          <w:sz w:val="17"/>
        </w:rPr>
        <w:t>• 依《公寓大廈管理條例》第 31 條特別決議門檻，由富宇大地全體區權人大會審議通過「富宇大地規約第二條管理範圍變更案（排除 A2 棟別）」及資產清算協議。</w:t>
      </w:r>
    </w:p>
    <w:p>
      <w:pPr>
        <w:spacing w:line="276" w:lineRule="auto" w:before="20" w:after="40"/>
      </w:pPr>
      <w:r>
        <w:rPr>
          <w:rFonts w:ascii="PingFang TC" w:hAnsi="PingFang TC"/>
          <w:color w:val="1A1D20"/>
          <w:sz w:val="17"/>
        </w:rPr>
        <w:t>• 大境 6 戶依規定召開成立大會，正式成立「富宇大境管理委員會」，訂定新規約、推選管理委員會幹部。</w:t>
      </w:r>
    </w:p>
    <w:p>
      <w:pPr>
        <w:spacing w:before="80" w:after="20"/>
      </w:pPr>
      <w:r>
        <w:rPr>
          <w:rFonts w:ascii="PingFang TC" w:hAnsi="PingFang TC"/>
          <w:b/>
          <w:color w:val="D4AF37"/>
          <w:sz w:val="18"/>
        </w:rPr>
        <w:t>階段四：主管機關行政變更與報備（雙軌合規備查）</w:t>
      </w:r>
    </w:p>
    <w:p>
      <w:pPr>
        <w:spacing w:line="276" w:lineRule="auto" w:before="20" w:after="40"/>
      </w:pPr>
      <w:r>
        <w:rPr>
          <w:rFonts w:ascii="PingFang TC" w:hAnsi="PingFang TC"/>
          <w:color w:val="1A1D20"/>
          <w:sz w:val="17"/>
        </w:rPr>
        <w:t>• 檢具大會會議紀錄、修正後規約、分割協議書、建築圖說謄本向主管機關區公所申辦變更備查。</w:t>
      </w:r>
    </w:p>
    <w:p>
      <w:pPr>
        <w:spacing w:line="276" w:lineRule="auto" w:before="20" w:after="40"/>
      </w:pPr>
      <w:r>
        <w:rPr>
          <w:rFonts w:ascii="PingFang TC" w:hAnsi="PingFang TC"/>
          <w:color w:val="1A1D20"/>
          <w:sz w:val="17"/>
        </w:rPr>
        <w:t>• 同步辦理富宇大地戶數變更報備（241 戶變更為 235 戶）及富宇大境管理組織設立報備（核准 6 戶），領取報備證明與國稅局新統一編號。</w:t>
      </w:r>
    </w:p>
    <w:p>
      <w:pPr>
        <w:spacing w:before="80" w:after="20"/>
      </w:pPr>
      <w:r>
        <w:rPr>
          <w:rFonts w:ascii="PingFang TC" w:hAnsi="PingFang TC"/>
          <w:b/>
          <w:color w:val="D4AF37"/>
          <w:sz w:val="18"/>
        </w:rPr>
        <w:t>階段五：銀行專戶接收撥還、外包責任割離與自主營運啟航</w:t>
      </w:r>
    </w:p>
    <w:p>
      <w:pPr>
        <w:spacing w:line="276" w:lineRule="auto" w:before="20" w:after="40"/>
      </w:pPr>
      <w:r>
        <w:rPr>
          <w:rFonts w:ascii="PingFang TC" w:hAnsi="PingFang TC"/>
          <w:color w:val="1A1D20"/>
          <w:sz w:val="17"/>
        </w:rPr>
        <w:t>• 新任主委持公所報備證明、統一編號編配通知書、印鑑，至新光銀行沙鹿分行開立「富宇大境管理委員會」公庫專戶。</w:t>
      </w:r>
    </w:p>
    <w:p>
      <w:pPr>
        <w:spacing w:line="276" w:lineRule="auto" w:before="20" w:after="40"/>
      </w:pPr>
      <w:r>
        <w:rPr>
          <w:rFonts w:ascii="PingFang TC" w:hAnsi="PingFang TC"/>
          <w:color w:val="1A1D20"/>
          <w:sz w:val="17"/>
        </w:rPr>
        <w:t>• 富宇大地管委會辦理定存與交屋基金專案電匯撥付，終止大社區外包合約連帶責任，正式啟動自主營運。</w:t>
      </w:r>
    </w:p>
    <w:p>
      <w:r>
        <w:br w:type="page"/>
      </w:r>
    </w:p>
    <w:p>
      <w:pPr>
        <w:spacing w:before="120" w:after="40"/>
      </w:pPr>
      <w:r>
        <w:rPr>
          <w:rFonts w:ascii="PingFang TC" w:hAnsi="PingFang TC"/>
          <w:b/>
          <w:color w:val="B8860B"/>
          <w:sz w:val="21"/>
        </w:rPr>
        <w:t>第伍章：常見疑慮溝通與爭議調處程序</w:t>
      </w:r>
    </w:p>
    <w:p>
      <w:pPr>
        <w:spacing w:before="80" w:after="20"/>
      </w:pPr>
      <w:r>
        <w:rPr>
          <w:rFonts w:ascii="PingFang TC" w:hAnsi="PingFang TC"/>
          <w:b/>
          <w:color w:val="D4AF37"/>
          <w:sz w:val="18"/>
        </w:rPr>
        <w:t>5.1 雙贏溝通效益與鄰里互信維護</w:t>
      </w:r>
    </w:p>
    <w:p>
      <w:pPr>
        <w:spacing w:line="276" w:lineRule="auto" w:before="20" w:after="40"/>
      </w:pPr>
      <w:r>
        <w:rPr>
          <w:rFonts w:ascii="PingFang TC" w:hAnsi="PingFang TC"/>
          <w:color w:val="1A1D20"/>
          <w:sz w:val="17"/>
        </w:rPr>
        <w:t>本分割提案旨在落實「各適其所、權責相符」，不引發鄰里對立：</w:t>
      </w:r>
    </w:p>
    <w:p>
      <w:pPr>
        <w:spacing w:line="276" w:lineRule="auto" w:before="20" w:after="40"/>
      </w:pPr>
      <w:r>
        <w:rPr>
          <w:rFonts w:ascii="PingFang TC" w:hAnsi="PingFang TC"/>
          <w:color w:val="1A1D20"/>
          <w:sz w:val="17"/>
        </w:rPr>
        <w:t>1. 財務公款無損：A2 專單定存原本就獨立分戶列卷，返還不影響大社區原有逾 760 萬元公共基金之安全水位。</w:t>
      </w:r>
    </w:p>
    <w:p>
      <w:pPr>
        <w:spacing w:line="276" w:lineRule="auto" w:before="20" w:after="40"/>
      </w:pPr>
      <w:r>
        <w:rPr>
          <w:rFonts w:ascii="PingFang TC" w:hAnsi="PingFang TC"/>
          <w:color w:val="1A1D20"/>
          <w:sz w:val="17"/>
        </w:rPr>
        <w:t>2. 減輕物業負擔：物業服務團隊可專注於內部深處 235 戶透天聚落之保全防護與子母車管理，減少跨幹道巡檢之勞碌。</w:t>
      </w:r>
    </w:p>
    <w:p>
      <w:pPr>
        <w:spacing w:before="80" w:after="20"/>
      </w:pPr>
      <w:r>
        <w:rPr>
          <w:rFonts w:ascii="PingFang TC" w:hAnsi="PingFang TC"/>
          <w:b/>
          <w:color w:val="D4AF37"/>
          <w:sz w:val="18"/>
        </w:rPr>
        <w:t>5.2 主管機關爭議調處法定機制</w:t>
      </w:r>
    </w:p>
    <w:p>
      <w:pPr>
        <w:spacing w:line="276" w:lineRule="auto" w:before="20" w:after="40"/>
      </w:pPr>
      <w:r>
        <w:rPr>
          <w:rFonts w:ascii="PingFang TC" w:hAnsi="PingFang TC"/>
          <w:color w:val="1A1D20"/>
          <w:sz w:val="17"/>
        </w:rPr>
        <w:t>若程序推進遭遇溝通窒礙，依《公寓大廈管理條例》第 59 條之 1 規定，得檢具相關事證向「臺中市政府都市發展局（住宅發展工程處）」申請「公寓大廈爭議事件調處委員會」進行官方調處，透過行政輔導達成法制分流。</w:t>
      </w:r>
    </w:p>
    <w:p>
      <w:pPr>
        <w:spacing w:before="80" w:after="20"/>
      </w:pPr>
      <w:r>
        <w:rPr>
          <w:rFonts w:ascii="PingFang TC" w:hAnsi="PingFang TC"/>
          <w:b/>
          <w:color w:val="D4AF37"/>
          <w:sz w:val="18"/>
        </w:rPr>
        <w:t>5.3 貨櫃屋管理室產權稅籍釐清</w:t>
      </w:r>
    </w:p>
    <w:p>
      <w:pPr>
        <w:spacing w:line="276" w:lineRule="auto" w:before="20" w:after="40"/>
      </w:pPr>
      <w:r>
        <w:rPr>
          <w:rFonts w:ascii="PingFang TC" w:hAnsi="PingFang TC"/>
          <w:color w:val="1A1D20"/>
          <w:sz w:val="17"/>
        </w:rPr>
        <w:t>依管委會 8 月例會動議一，貨櫃屋管理室申辦房屋稅籍事宜，於大會通過分割案後，雙方於清算協議中明定產權與稅負責任全數歸屬剩餘 235 戶，大境 6 戶自核准生效日起不承擔任何連帶稅捐。</w:t>
      </w:r>
    </w:p>
    <w:p>
      <w:pPr>
        <w:spacing w:before="120" w:after="40"/>
      </w:pPr>
      <w:r>
        <w:rPr>
          <w:rFonts w:ascii="PingFang TC" w:hAnsi="PingFang TC"/>
          <w:b/>
          <w:color w:val="B8860B"/>
          <w:sz w:val="21"/>
        </w:rPr>
        <w:t>第陸章：法制化必備實體附件與契約範本庫</w:t>
      </w:r>
    </w:p>
    <w:p>
      <w:pPr>
        <w:spacing w:before="80" w:after="20"/>
      </w:pPr>
      <w:r>
        <w:rPr>
          <w:rFonts w:ascii="PingFang TC" w:hAnsi="PingFang TC"/>
          <w:b/>
          <w:color w:val="D4AF37"/>
          <w:sz w:val="18"/>
        </w:rPr>
        <w:t>【範本一】A2 富宇大境 6 戶區分所有權人獨立分割連署意向書</w:t>
      </w:r>
    </w:p>
    <w:tbl>
      <w:tblPr>
        <w:tblW w:type="auto" w:w="0"/>
        <w:jc w:val="center"/>
        <w:tblLook w:firstColumn="1" w:firstRow="1" w:lastColumn="0" w:lastRow="0" w:noHBand="0" w:noVBand="1" w:val="04A0"/>
      </w:tblPr>
      <w:tblGrid>
        <w:gridCol w:w="9866"/>
      </w:tblGrid>
      <w:tr>
        <w:tc>
          <w:tcPr>
            <w:tcW w:type="dxa" w:w="9865"/>
            <w:shd w:fill="FFFDF5"/>
            <w:tcMar>
              <w:top w:w="50" w:type="dxa"/>
              <w:bottom w:w="50" w:type="dxa"/>
              <w:left w:w="80" w:type="dxa"/>
              <w:right w:w="80" w:type="dxa"/>
            </w:tcMar>
            <w:tcBorders>
              <w:left w:val="single" w:sz="24" w:space="0" w:color="D4AF37"/>
              <w:top w:val="none"/>
              <w:right w:val="none"/>
              <w:bottom w:val="none"/>
            </w:tcBorders>
          </w:tcPr>
          <w:p>
            <w:pPr>
              <w:spacing w:line="276" w:lineRule="auto" w:after="0"/>
            </w:pPr>
            <w:r>
              <w:rPr>
                <w:rFonts w:ascii="PingFang TC" w:hAnsi="PingFang TC"/>
                <w:b/>
                <w:color w:val="B8860B"/>
                <w:sz w:val="18"/>
              </w:rPr>
              <w:t>【法定連署書公文範本】</w:t>
              <w:br/>
            </w:r>
            <w:r>
              <w:rPr>
                <w:rFonts w:ascii="PingFang TC" w:hAnsi="PingFang TC"/>
                <w:color w:val="1A1D20"/>
                <w:sz w:val="17"/>
              </w:rPr>
              <w:t>立連署意向書人係台中市沙鹿區「富宇大境（A2 區）」全體區分所有權人。緣於本區 6 戶透天別墅面臨龍社路公有計畫道路，人員車輛出入完全獨立；且生活垃圾均自行等候市府免費清潔隊清運，完全未使用富宇大地社區內部之收費子母車。為貫徹權責相符與管理分流，依據《公寓大廈管理條例》第 53 條、第 31 條規定，立連署書人一致申請自富宇大地管理範圍合意分割獨立，成立專屬之「富宇大境管理委員會」，並全權委託 廖倫豪 代表本區全體 6 戶辦理提案、協商與推進大會審議全般手續。</w:t>
              <w:br/>
              <w:br/>
              <w:t>全體連署人名冊與簽章：</w:t>
              <w:br/>
              <w:t>1. 龍社路 593 號  區權人：_______________  身分證字號：____________  簽章：_________</w:t>
              <w:br/>
              <w:t>2. 龍社路 595 號  區權人：_______________  身分證字號：____________  簽章：_________</w:t>
              <w:br/>
              <w:t>3. 龍社路 597 號  區權人：_______________  身分證字號：____________  簽章：_________</w:t>
              <w:br/>
              <w:t>4. 龍社路 599 號  區權人：_______________  身分證字號：____________  簽章：_________</w:t>
              <w:br/>
              <w:t>5. 龍社路 601 號  區權人：_______________  身分證字號：____________  簽章：_________</w:t>
              <w:br/>
              <w:t>6. 龍社路 603 號  區權人：_______________  身分證字號：____________  簽章：_________</w:t>
              <w:br/>
              <w:t>中華民國 115 年 _____ 月 _____ 日</w:t>
            </w:r>
          </w:p>
        </w:tc>
      </w:tr>
    </w:tbl>
    <w:p>
      <w:r>
        <w:br w:type="page"/>
      </w:r>
    </w:p>
    <w:p>
      <w:pPr>
        <w:spacing w:before="80" w:after="20"/>
      </w:pPr>
      <w:r>
        <w:rPr>
          <w:rFonts w:ascii="PingFang TC" w:hAnsi="PingFang TC"/>
          <w:b/>
          <w:color w:val="D4AF37"/>
          <w:sz w:val="18"/>
        </w:rPr>
        <w:t>【範本二】富宇大地 vs 富宇大境 公共基金與專款資產分割清算協議書（草案）</w:t>
      </w:r>
    </w:p>
    <w:tbl>
      <w:tblPr>
        <w:tblW w:type="auto" w:w="0"/>
        <w:jc w:val="center"/>
        <w:tblLook w:firstColumn="1" w:firstRow="1" w:lastColumn="0" w:lastRow="0" w:noHBand="0" w:noVBand="1" w:val="04A0"/>
      </w:tblPr>
      <w:tblGrid>
        <w:gridCol w:w="9866"/>
      </w:tblGrid>
      <w:tr>
        <w:tc>
          <w:tcPr>
            <w:tcW w:type="dxa" w:w="9865"/>
            <w:shd w:fill="FFFDF5"/>
            <w:tcMar>
              <w:top w:w="50" w:type="dxa"/>
              <w:bottom w:w="50" w:type="dxa"/>
              <w:left w:w="80" w:type="dxa"/>
              <w:right w:w="80" w:type="dxa"/>
            </w:tcMar>
            <w:tcBorders>
              <w:left w:val="single" w:sz="24" w:space="0" w:color="D4AF37"/>
              <w:top w:val="none"/>
              <w:right w:val="none"/>
              <w:bottom w:val="none"/>
            </w:tcBorders>
          </w:tcPr>
          <w:p>
            <w:pPr>
              <w:spacing w:line="276" w:lineRule="auto" w:after="0"/>
            </w:pPr>
            <w:r>
              <w:rPr>
                <w:rFonts w:ascii="PingFang TC" w:hAnsi="PingFang TC"/>
                <w:b/>
                <w:color w:val="B8860B"/>
                <w:sz w:val="18"/>
              </w:rPr>
              <w:t>【資產清算協議書契約全文】</w:t>
              <w:br/>
            </w:r>
            <w:r>
              <w:rPr>
                <w:rFonts w:ascii="PingFang TC" w:hAnsi="PingFang TC"/>
                <w:color w:val="1A1D20"/>
                <w:sz w:val="17"/>
              </w:rPr>
              <w:t>立協議書人：</w:t>
              <w:br/>
              <w:t>甲方：富宇大地社區管理委員會（法定代表人：主任委員）</w:t>
              <w:br/>
              <w:t>乙方：富宇大境管理委員會（法定代表人：主任委員）</w:t>
              <w:br/>
              <w:br/>
              <w:t>緣乙方（富宇大境 6 戶）業經富宇大地全體區分所有權人會議依《公寓大廈管理條例》第 31 條做成特別決議，通過變更管理範圍合意獨立分割在案。雙方本於誠信互惠原則，就公共基金與資產清算移交事項訂立本協議書，條款如下：</w:t>
              <w:br/>
              <w:br/>
              <w:t>第一條（定存專單移交）：甲方保管於新光銀行沙鹿分行之「A2 大境定存專單」（存單本金新台幣 220,231 元整及截至移交日止之孳生利息），甲方同意於主管機關核准備查後 15 日內，配合辦理存單更名或解約匯撥至乙方公庫專戶。</w:t>
              <w:br/>
              <w:t>第二條（交屋基金撥還）：起造人富宇建設交付之管理基金，甲方同意按乙方 6 戶預繳份額，核實專案撥還新台幣 60,000 元整至乙方公庫專戶。</w:t>
              <w:br/>
              <w:t>第三條（公設權益割離與生活自理）：乙方自分割生效日起，生活廢棄物自行等候市府公有垃圾車清運，自願放棄使用甲方內部之垃圾子母車及貨櫃屋管理室，亦不再分攤甲方內部之清潔維護費用。</w:t>
              <w:br/>
              <w:t>第四條（水電排污獨立與外包免責）：乙方各戶自來水、用電、排污設施各自獨立立戶自理。大境分割生效之次月 1 日起，甲方所簽訂之外包服務合約與乙方無涉，乙方不負連帶責任。</w:t>
              <w:br/>
              <w:t>第五條（協議生效要件）：本協議書經雙方主任委員代表簽章用印，並經主管機關核准管理組織變更與新設報備後正式生效。</w:t>
              <w:br/>
              <w:br/>
              <w:t>甲方：富宇大地社區管理委員會    主任委員簽章：__________________</w:t>
              <w:br/>
              <w:t>乙方：富宇大境管理委員會        主任委員簽章：__________________</w:t>
              <w:br/>
              <w:t>中華民國 115 年 _____ 月 _____ 日</w:t>
            </w:r>
          </w:p>
        </w:tc>
      </w:tr>
    </w:tbl>
    <w:sectPr w:rsidR="00FC693F" w:rsidRPr="0006063C" w:rsidSect="00034616">
      <w:headerReference w:type="default" r:id="rId9"/>
      <w:footerReference w:type="default" r:id="rId10"/>
      <w:pgSz w:w="11906" w:h="16838"/>
      <w:pgMar w:top="794"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報告人：廖倫豪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7</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8C8273"/>
        <w:sz w:val="16"/>
      </w:rPr>
      <w:t>附件一：法定獨立分割可行性研究報告書 ｜ 專案編號：FY-SPLIT-2026-A2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