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PingFang TC" w:hAnsi="PingFang TC"/>
          <w:b/>
          <w:color w:val="B8860B"/>
          <w:sz w:val="26"/>
        </w:rPr>
        <w:t>【附件三】富宇大地例行會議紀錄及新光銀行 A2 定存財報存根證明</w:t>
      </w:r>
    </w:p>
    <w:p>
      <w:pPr>
        <w:spacing w:before="0" w:after="120"/>
        <w:jc w:val="center"/>
      </w:pPr>
      <w:r>
        <w:rPr>
          <w:rFonts w:ascii="PingFang TC" w:hAnsi="PingFang TC"/>
          <w:color w:val="8C8273"/>
          <w:sz w:val="16"/>
        </w:rPr>
        <w:t>檢附 115 年 5 月例會議決與 9 月財務報告，佐證 A2 定存單專單保管事實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A1D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6"/>
              </w:rPr>
              <w:t>定存專單項次</w:t>
            </w:r>
          </w:p>
        </w:tc>
        <w:tc>
          <w:tcPr>
            <w:tcW w:type="dxa" w:w="3289"/>
            <w:shd w:fill="1A1D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PingFang TC" w:hAnsi="PingFang TC"/>
                <w:b/>
                <w:color w:val="D4AF37"/>
                <w:sz w:val="16"/>
              </w:rPr>
              <w:t>專單存款抬頭與金額 (新台幣)</w:t>
            </w:r>
          </w:p>
        </w:tc>
        <w:tc>
          <w:tcPr>
            <w:tcW w:type="dxa" w:w="3289"/>
            <w:shd w:fill="1A1D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6"/>
              </w:rPr>
              <w:t>立卷憑據與官方會議決議</w:t>
            </w:r>
          </w:p>
        </w:tc>
      </w:tr>
      <w:tr>
        <w:tc>
          <w:tcPr>
            <w:tcW w:type="dxa" w:w="3289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第 1 筆定存單</w:t>
            </w:r>
          </w:p>
        </w:tc>
        <w:tc>
          <w:tcPr>
            <w:tcW w:type="dxa" w:w="3289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PingFang TC" w:hAnsi="PingFang TC"/>
                <w:color w:val="1A1D20"/>
                <w:sz w:val="16"/>
              </w:rPr>
              <w:t>NT$ 2,231,820 元</w:t>
            </w:r>
          </w:p>
        </w:tc>
        <w:tc>
          <w:tcPr>
            <w:tcW w:type="dxa" w:w="3289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富宇悠境專單（新光銀行沙鹿分行定存）</w:t>
            </w:r>
          </w:p>
        </w:tc>
      </w:tr>
      <w:tr>
        <w:tc>
          <w:tcPr>
            <w:tcW w:type="dxa" w:w="3289"/>
            <w:shd w:fill="FFFD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第 2 筆定存單 (A2 大境)</w:t>
            </w:r>
          </w:p>
        </w:tc>
        <w:tc>
          <w:tcPr>
            <w:tcW w:type="dxa" w:w="3289"/>
            <w:shd w:fill="FFFD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PingFang TC" w:hAnsi="PingFang TC"/>
                <w:b/>
                <w:color w:val="B8860B"/>
                <w:sz w:val="16"/>
              </w:rPr>
              <w:t>NT$ 220,231 元</w:t>
            </w:r>
          </w:p>
        </w:tc>
        <w:tc>
          <w:tcPr>
            <w:tcW w:type="dxa" w:w="3289"/>
            <w:shd w:fill="FFFD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富宇大境專單（115.05.06 決議獨立立卷，含孳息）</w:t>
            </w:r>
          </w:p>
        </w:tc>
      </w:tr>
      <w:tr>
        <w:tc>
          <w:tcPr>
            <w:tcW w:type="dxa" w:w="3289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第 3 筆定存單</w:t>
            </w:r>
          </w:p>
        </w:tc>
        <w:tc>
          <w:tcPr>
            <w:tcW w:type="dxa" w:w="3289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PingFang TC" w:hAnsi="PingFang TC"/>
                <w:color w:val="1A1D20"/>
                <w:sz w:val="16"/>
              </w:rPr>
              <w:t>NT$ 220,231 元</w:t>
            </w:r>
          </w:p>
        </w:tc>
        <w:tc>
          <w:tcPr>
            <w:tcW w:type="dxa" w:w="3289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富宇澄境專單（新光銀行沙鹿分行定存）</w:t>
            </w:r>
          </w:p>
        </w:tc>
      </w:tr>
      <w:tr>
        <w:tc>
          <w:tcPr>
            <w:tcW w:type="dxa" w:w="3289"/>
            <w:shd w:fill="FAF8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第 4 筆定存單</w:t>
            </w:r>
          </w:p>
        </w:tc>
        <w:tc>
          <w:tcPr>
            <w:tcW w:type="dxa" w:w="3289"/>
            <w:shd w:fill="FAF8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PingFang TC" w:hAnsi="PingFang TC"/>
                <w:color w:val="1A1D20"/>
                <w:sz w:val="16"/>
              </w:rPr>
              <w:t>NT$ 0 元</w:t>
            </w:r>
          </w:p>
        </w:tc>
        <w:tc>
          <w:tcPr>
            <w:tcW w:type="dxa" w:w="3289"/>
            <w:shd w:fill="FAF8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起造人基金活存轉存準備</w:t>
            </w:r>
          </w:p>
        </w:tc>
      </w:tr>
      <w:tr>
        <w:tc>
          <w:tcPr>
            <w:tcW w:type="dxa" w:w="3289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定存專單小計</w:t>
            </w:r>
          </w:p>
        </w:tc>
        <w:tc>
          <w:tcPr>
            <w:tcW w:type="dxa" w:w="3289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PingFang TC" w:hAnsi="PingFang TC"/>
                <w:color w:val="1A1D20"/>
                <w:sz w:val="16"/>
              </w:rPr>
              <w:t>NT$ 2,672,282 元</w:t>
            </w:r>
          </w:p>
        </w:tc>
        <w:tc>
          <w:tcPr>
            <w:tcW w:type="dxa" w:w="3289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1A1D20"/>
                <w:sz w:val="16"/>
              </w:rPr>
              <w:t>四筆定存專單合計總額（A2 大境佔 220,231 元）</w:t>
            </w:r>
          </w:p>
        </w:tc>
      </w:tr>
    </w:tbl>
    <w:p>
      <w:pPr>
        <w:spacing w:before="160" w:after="40"/>
      </w:pPr>
      <w:r>
        <w:rPr>
          <w:rFonts w:ascii="PingFang TC" w:hAnsi="PingFang TC"/>
          <w:b/>
          <w:color w:val="B8860B"/>
          <w:sz w:val="17"/>
        </w:rPr>
        <w:t>【會議紀錄證明摘要】</w:t>
        <w:br/>
      </w:r>
      <w:r>
        <w:rPr>
          <w:rFonts w:ascii="PingFang TC" w:hAnsi="PingFang TC"/>
          <w:color w:val="1A1D20"/>
          <w:sz w:val="16"/>
        </w:rPr>
        <w:t>1. 115 年 5 月 6 日例會議題四決議：台中市政府核退之公共基金，分別辦理新光銀行定存；其中第 2 筆明確載明『A2 大境區定存，金額 NT$ 220,231 元』。</w:t>
        <w:br/>
        <w:t>2. 115 年 5 月 5 日財務清冊：起造人富宇建設交屋管理基金 241 萬元入帳，全社區 241 戶每戶 1 萬元，A2 大境 6 戶預繳份額為 NT$ 60,000 元整。</w:t>
        <w:br/>
        <w:t>3. 專款審計定性：上述專款來源清楚，基於合意分割與管理分流原則，建請大會同意於分割核准後專案撥還移交至大境公庫專戶專管專用。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TC" w:hAnsi="PingFang TC"/>
        <w:color w:val="8C8273"/>
        <w:sz w:val="17"/>
      </w:rPr>
      <w:t xml:space="preserve">報告人：廖倫豪  ｜  第 </w:t>
    </w:r>
    <w:fldSimple w:instr="PAGE">
      <w:r>
        <w:rPr>
          <w:rFonts w:ascii="PingFang TC" w:eastAsia="PingFang TC"/>
          <w:sz w:val="17"/>
          <w:color w:val="8C8273"/>
        </w:rPr>
        <w:t>1</w:t>
      </w:r>
    </w:fldSimple>
    <w:r>
      <w:rPr>
        <w:rFonts w:ascii="PingFang TC" w:hAnsi="PingFang TC"/>
        <w:color w:val="8C8273"/>
        <w:sz w:val="17"/>
      </w:rPr>
      <w:t xml:space="preserve"> 頁  /  共 </w:t>
    </w:r>
    <w:fldSimple w:instr="NUMPAGES">
      <w:r>
        <w:rPr>
          <w:rFonts w:ascii="PingFang TC" w:eastAsia="PingFang TC"/>
          <w:sz w:val="17"/>
          <w:color w:val="8C8273"/>
        </w:rPr>
        <w:t>1</w:t>
      </w:r>
    </w:fldSimple>
    <w:r>
      <w:rPr>
        <w:rFonts w:ascii="PingFang TC" w:hAnsi="PingFang TC"/>
        <w:color w:val="8C82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TC" w:hAnsi="PingFang TC"/>
        <w:color w:val="8C8273"/>
        <w:sz w:val="16"/>
      </w:rPr>
      <w:t>附件三：會議記錄及新光銀行A2定存財報存根 ｜ 專案編號：FY-SPLIT-2026-A2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