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</w:pPr>
      <w:r>
        <w:rPr>
          <w:rFonts w:ascii="Outfit" w:hAnsi="Outfit"/>
          <w:b/>
          <w:color w:val="2B5F6B"/>
          <w:sz w:val="22"/>
        </w:rPr>
        <w:t>CYBERSECURITY POSTURE &amp; ZERO TRUST ASSESSMENT</w:t>
      </w:r>
    </w:p>
    <w:p>
      <w:pPr>
        <w:spacing w:after="240"/>
      </w:pPr>
      <w:r>
        <w:rPr>
          <w:rFonts w:ascii="Outfit" w:hAnsi="Outfit"/>
          <w:b/>
          <w:color w:val="D96B27"/>
          <w:sz w:val="56"/>
        </w:rPr>
        <w:t>企業零信任資安防禦成熟度</w:t>
        <w:br/>
        <w:t>與威脅風險評估報告</w:t>
      </w:r>
    </w:p>
    <w:p>
      <w:pPr>
        <w:spacing w:after="720"/>
      </w:pPr>
      <w:r>
        <w:rPr>
          <w:rFonts w:ascii="Inter" w:hAnsi="Inter"/>
          <w:color w:val="1F2421"/>
          <w:sz w:val="26"/>
        </w:rPr>
        <w:t>針對身份認證、端點防護、網路微分區與機敏資料合規之全維度診斷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50" w:hRule="exact"/>
        </w:trPr>
        <w:tc>
          <w:tcPr>
            <w:tcW w:type="dxa" w:w="3168"/>
            <w:shd w:fill="D96B27"/>
          </w:tcPr>
          <w:p/>
        </w:tc>
        <w:tc>
          <w:tcPr>
            <w:tcW w:type="dxa" w:w="6192"/>
            <w:shd w:fill="E5A93C"/>
          </w:tcPr>
          <w:p/>
        </w:tc>
      </w:tr>
    </w:tbl>
    <w:p>
      <w:pPr>
        <w:spacing w:before="26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7E9"/>
            <w:tcMar>
              <w:top w:w="200" w:type="dxa"/>
              <w:bottom w:w="200" w:type="dxa"/>
              <w:left w:w="240" w:type="dxa"/>
              <w:right w:w="240" w:type="dxa"/>
            </w:tcMar>
            <w:tcBorders>
              <w:left w:val="single" w:sz="24" w:space="0" w:color="D96B27"/>
              <w:top w:val="single" w:sz="8" w:space="0" w:color="E8DFD8"/>
              <w:right w:val="single" w:sz="8" w:space="0" w:color="E8DFD8"/>
              <w:bottom w:val="single" w:sz="8" w:space="0" w:color="E8DFD8"/>
            </w:tcBorders>
          </w:tcPr>
          <w:p>
            <w:r>
              <w:rPr>
                <w:rFonts w:ascii="Outfit" w:hAnsi="Outfit"/>
                <w:b/>
                <w:color w:val="D96B27"/>
                <w:sz w:val="28"/>
              </w:rPr>
              <w:t>報告人 Howard Liao Ph.D.(廖倫豪 博士)</w:t>
            </w:r>
          </w:p>
          <w:p>
            <w:pPr>
              <w:spacing w:after="0"/>
            </w:pPr>
            <w:r>
              <w:rPr>
                <w:rFonts w:ascii="Inter" w:hAnsi="Inter"/>
                <w:color w:val="2B5F6B"/>
                <w:sz w:val="19"/>
              </w:rPr>
              <w:t>資訊安全長 (CISO) / 資安評估稽核專家  |  評估基準：NIST CSF 2.0 &amp; ISO 27001:2022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Outfit" w:hAnsi="Outfit"/>
          <w:b/>
          <w:color w:val="D96B27"/>
          <w:sz w:val="36"/>
        </w:rPr>
        <w:t>一、 執行摘要與總體成熟度分數</w:t>
      </w:r>
    </w:p>
    <w:p>
      <w:pPr>
        <w:spacing w:after="200" w:line="324" w:lineRule="auto"/>
      </w:pPr>
      <w:r>
        <w:rPr>
          <w:rFonts w:ascii="Inter" w:hAnsi="Inter"/>
          <w:color w:val="1F2421"/>
          <w:sz w:val="21"/>
        </w:rPr>
        <w:t>本次資安評估由 Howard Liao Ph.D. 團隊主持，涵蓋企業混合雲、地端機房與遠端端點之全方位安全架構。評估採用美國國家標準技術研究院 (NIST CSF 2.0) 與零信任架構標準 (NIST SP 800-207)。總體成熟度評分為 3.8 / 5.0（定義級別向最佳化邁進），其中在「身份認證」與「雲端基礎防護」表現卓越，但在「跨網段微分區」與「資料主動防外洩 (DLP)」領域尚存強化空間。</w:t>
      </w:r>
    </w:p>
    <w:p>
      <w:pPr>
        <w:spacing w:before="280" w:after="120"/>
      </w:pPr>
      <w:r>
        <w:rPr>
          <w:rFonts w:ascii="Outfit" w:hAnsi="Outfit"/>
          <w:b/>
          <w:color w:val="2B5F6B"/>
          <w:sz w:val="28"/>
        </w:rPr>
        <w:t>二、 零信任五大支柱評估矩陣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6B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Outfit" w:hAnsi="Outfit"/>
                <w:b/>
                <w:color w:val="FFFFFF"/>
                <w:sz w:val="20"/>
              </w:rPr>
              <w:t>評估支柱</w:t>
            </w:r>
          </w:p>
        </w:tc>
        <w:tc>
          <w:tcPr>
            <w:tcW w:type="dxa" w:w="2340"/>
            <w:shd w:fill="D96B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Outfit" w:hAnsi="Outfit"/>
                <w:b/>
                <w:color w:val="FFFFFF"/>
                <w:sz w:val="20"/>
              </w:rPr>
              <w:t>現行現況分析</w:t>
            </w:r>
          </w:p>
        </w:tc>
        <w:tc>
          <w:tcPr>
            <w:tcW w:type="dxa" w:w="2340"/>
            <w:shd w:fill="D96B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Outfit" w:hAnsi="Outfit"/>
                <w:b/>
                <w:color w:val="FFFFFF"/>
                <w:sz w:val="20"/>
              </w:rPr>
              <w:t>成熟度評級</w:t>
            </w:r>
          </w:p>
        </w:tc>
        <w:tc>
          <w:tcPr>
            <w:tcW w:type="dxa" w:w="2340"/>
            <w:shd w:fill="D96B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Outfit" w:hAnsi="Outfit"/>
                <w:b/>
                <w:color w:val="FFFFFF"/>
                <w:sz w:val="20"/>
              </w:rPr>
              <w:t>優先補強行動 (Next Step)</w:t>
            </w:r>
          </w:p>
        </w:tc>
      </w:tr>
      <w:tr>
        <w:tc>
          <w:tcPr>
            <w:tcW w:type="dxa" w:w="2340"/>
            <w:shd w:fill="FAF7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b/>
                <w:color w:val="1F2421"/>
                <w:sz w:val="19"/>
              </w:rPr>
              <w:t>1. 身份 (Identity)</w:t>
            </w:r>
          </w:p>
        </w:tc>
        <w:tc>
          <w:tcPr>
            <w:tcW w:type="dxa" w:w="2340"/>
            <w:shd w:fill="FAF7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已落實 Entra ID SSO 與條件式存取 MFA</w:t>
            </w:r>
          </w:p>
        </w:tc>
        <w:tc>
          <w:tcPr>
            <w:tcW w:type="dxa" w:w="2340"/>
            <w:shd w:fill="FAF7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4.2 / 5.0 (優良)</w:t>
            </w:r>
          </w:p>
        </w:tc>
        <w:tc>
          <w:tcPr>
            <w:tcW w:type="dxa" w:w="2340"/>
            <w:shd w:fill="FAF7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擴展無密碼 FIDO2 金鑰導入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b/>
                <w:color w:val="1F2421"/>
                <w:sz w:val="19"/>
              </w:rPr>
              <w:t>2. 端點設備 (Device)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全集團部署 EDR，但 BYOD 設備缺乏合規檢查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3.6 / 5.0 (中等)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落實 MDM 強制安全基準線檢查</w:t>
            </w:r>
          </w:p>
        </w:tc>
      </w:tr>
      <w:tr>
        <w:tc>
          <w:tcPr>
            <w:tcW w:type="dxa" w:w="2340"/>
            <w:shd w:fill="FAF7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b/>
                <w:color w:val="1F2421"/>
                <w:sz w:val="19"/>
              </w:rPr>
              <w:t>3. 網路 (Network)</w:t>
            </w:r>
          </w:p>
        </w:tc>
        <w:tc>
          <w:tcPr>
            <w:tcW w:type="dxa" w:w="2340"/>
            <w:shd w:fill="FAF7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傳統邊界防火牆運作良好，但內部東西向未隔離</w:t>
            </w:r>
          </w:p>
        </w:tc>
        <w:tc>
          <w:tcPr>
            <w:tcW w:type="dxa" w:w="2340"/>
            <w:shd w:fill="FAF7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3.0 / 5.0 (待加強)</w:t>
            </w:r>
          </w:p>
        </w:tc>
        <w:tc>
          <w:tcPr>
            <w:tcW w:type="dxa" w:w="2340"/>
            <w:shd w:fill="FAF7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實施微隔離 (Micro-segmentation)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b/>
                <w:color w:val="1F2421"/>
                <w:sz w:val="19"/>
              </w:rPr>
              <w:t>4. 應用程式 (App)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CI/CD 已整合 SAST/DAST，缺少 API Gateway 防護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3.9 / 5.0 (優良)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導入 WAAP 抵禦自動化 API 惡意爬蟲</w:t>
            </w:r>
          </w:p>
        </w:tc>
      </w:tr>
      <w:tr>
        <w:tc>
          <w:tcPr>
            <w:tcW w:type="dxa" w:w="2340"/>
            <w:shd w:fill="FAF7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b/>
                <w:color w:val="1F2421"/>
                <w:sz w:val="19"/>
              </w:rPr>
              <w:t>5. 資料 (Data)</w:t>
            </w:r>
          </w:p>
        </w:tc>
        <w:tc>
          <w:tcPr>
            <w:tcW w:type="dxa" w:w="2340"/>
            <w:shd w:fill="FAF7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核心資料庫具備 TDE 加密，缺乏動態脫敏機制</w:t>
            </w:r>
          </w:p>
        </w:tc>
        <w:tc>
          <w:tcPr>
            <w:tcW w:type="dxa" w:w="2340"/>
            <w:shd w:fill="FAF7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3.4 / 5.0 (中等)</w:t>
            </w:r>
          </w:p>
        </w:tc>
        <w:tc>
          <w:tcPr>
            <w:tcW w:type="dxa" w:w="2340"/>
            <w:shd w:fill="FAF7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部署機敏資料外洩防護 (DLP) 監控</w:t>
            </w:r>
          </w:p>
        </w:tc>
      </w:tr>
    </w:tbl>
    <w:p>
      <w:pPr>
        <w:spacing w:before="3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7E9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single" w:sz="28" w:space="0" w:color="E5A93C"/>
              <w:top w:val="none"/>
              <w:right w:val="none"/>
              <w:bottom w:val="none"/>
            </w:tcBorders>
          </w:tcPr>
          <w:p>
            <w:r>
              <w:rPr>
                <w:rFonts w:ascii="Outfit" w:hAnsi="Outfit"/>
                <w:b/>
                <w:color w:val="D96B27"/>
                <w:sz w:val="21"/>
              </w:rPr>
              <w:t>🛡️ 資安長戰略改善建議 (CISO Strategic Action)：</w:t>
              <w:br/>
            </w:r>
            <w:r>
              <w:rPr>
                <w:rFonts w:ascii="Inter" w:hAnsi="Inter"/>
                <w:color w:val="1F2421"/>
                <w:sz w:val="19"/>
              </w:rPr>
              <w:t>建議於 2026 Q3 優先啟動『東西向網路微隔離工程』與『特權帳號管理 (PAM) 金庫深化』。零信任的核心並非一次性採購產品，而是『永不信任、始終驗證 (Never Trust, Always Verify)』的動態決策流程。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Inter" w:hAnsi="Inter"/>
        <w:color w:val="6B726C"/>
        <w:sz w:val="17"/>
      </w:rPr>
      <w:t>報告人 Howard Liao Ph.D.(廖倫豪 博士)  |  企業資訊安全長 (CISO) 專案諮詢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utfit" w:hAnsi="Outfit"/>
        <w:color w:val="6B726C"/>
        <w:sz w:val="17"/>
      </w:rPr>
      <w:t>資安防禦體系評估報告 | 零信任戰略架構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