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Outfit" w:hAnsi="Outfit"/>
          <w:b/>
          <w:color w:val="2B5F6B"/>
          <w:sz w:val="22"/>
        </w:rPr>
        <w:t>PROFESSIONAL ARCHITECTURE &amp; RESEARCH REPORT</w:t>
      </w:r>
    </w:p>
    <w:p>
      <w:pPr>
        <w:spacing w:after="240"/>
      </w:pPr>
      <w:r>
        <w:rPr>
          <w:rFonts w:ascii="Outfit" w:hAnsi="Outfit"/>
          <w:b/>
          <w:color w:val="D96B27"/>
          <w:sz w:val="56"/>
        </w:rPr>
        <w:t>埃及法老溫暖學術風格：</w:t>
        <w:br/>
        <w:t>跨平台統一設計系統實踐白皮書</w:t>
      </w:r>
    </w:p>
    <w:p>
      <w:pPr>
        <w:spacing w:after="720"/>
      </w:pPr>
      <w:r>
        <w:rPr>
          <w:rFonts w:ascii="Inter" w:hAnsi="Inter"/>
          <w:color w:val="1F2421"/>
          <w:sz w:val="28"/>
        </w:rPr>
        <w:t>統一 PPT、Word、Google Docs 及 Web 前端之視覺語彙與自動化生成規範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50" w:hRule="exact"/>
        </w:trPr>
        <w:tc>
          <w:tcPr>
            <w:tcW w:type="dxa" w:w="2880"/>
            <w:shd w:fill="D96B27"/>
          </w:tcPr>
          <w:p/>
        </w:tc>
        <w:tc>
          <w:tcPr>
            <w:tcW w:type="dxa" w:w="6480"/>
            <w:shd w:fill="E5A93C"/>
          </w:tcPr>
          <w:p/>
        </w:tc>
      </w:tr>
    </w:tbl>
    <w:p>
      <w:pPr>
        <w:spacing w:before="2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9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left w:val="single" w:sz="24" w:space="0" w:color="D96B27"/>
              <w:top w:val="single" w:sz="8" w:space="0" w:color="E8DFD8"/>
              <w:right w:val="single" w:sz="8" w:space="0" w:color="E8DFD8"/>
              <w:bottom w:val="single" w:sz="8" w:space="0" w:color="E8DFD8"/>
            </w:tcBorders>
          </w:tcPr>
          <w:p>
            <w:pPr>
              <w:spacing w:after="80"/>
            </w:pPr>
            <w:r>
              <w:rPr>
                <w:rFonts w:ascii="Outfit" w:hAnsi="Outfit"/>
                <w:b/>
                <w:color w:val="D96B27"/>
                <w:sz w:val="28"/>
              </w:rPr>
              <w:t>報告人 Howard Liao Ph.D.(廖倫豪 博士)</w:t>
            </w:r>
          </w:p>
          <w:p>
            <w:pPr>
              <w:spacing w:after="0"/>
            </w:pPr>
            <w:r>
              <w:rPr>
                <w:rFonts w:ascii="Inter" w:hAnsi="Inter"/>
                <w:color w:val="2B5F6B"/>
                <w:sz w:val="19"/>
              </w:rPr>
              <w:t>資深架構師 / 資訊安全長 (CISO) / 資訊工程博士  |  發布版本：v1.0 (2026)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Outfit" w:hAnsi="Outfit"/>
          <w:b/>
          <w:color w:val="D96B27"/>
          <w:sz w:val="36"/>
        </w:rPr>
        <w:t>第一章 設計哲學與核心原則</w:t>
      </w:r>
    </w:p>
    <w:p>
      <w:pPr>
        <w:spacing w:after="200" w:line="324" w:lineRule="auto"/>
      </w:pPr>
      <w:r>
        <w:rPr>
          <w:rFonts w:ascii="Inter" w:hAnsi="Inter"/>
          <w:color w:val="1F2421"/>
          <w:sz w:val="21"/>
        </w:rPr>
        <w:t>「埃及法老溫暖學術風格」融合了古文明典籍的永恆厚重與現代數位工程的極簡幾何。傳統文件生成常面臨全黑文字過度刺眼、純白畫布缺乏溫度、或跨簡報與文件時色彩破碎等痛點。本設計系統以羊皮紙暖白（#FAF7F2）為底色載體，搭配曜石深灰（#1F2421）作為高對比正文字體，徹底達到護眼與學術莊重的雙重平衡。</w:t>
      </w:r>
    </w:p>
    <w:p>
      <w:pPr>
        <w:spacing w:before="280" w:after="120"/>
      </w:pPr>
      <w:r>
        <w:rPr>
          <w:rFonts w:ascii="Outfit" w:hAnsi="Outfit"/>
          <w:b/>
          <w:color w:val="2B5F6B"/>
          <w:sz w:val="28"/>
        </w:rPr>
        <w:t>1.1 核心調色盤與語意對應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語意名稱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十六進位碼 (Hex)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RGB 色彩值</w:t>
            </w:r>
          </w:p>
        </w:tc>
        <w:tc>
          <w:tcPr>
            <w:tcW w:type="dxa" w:w="2340"/>
            <w:shd w:fill="D96B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Outfit" w:hAnsi="Outfit"/>
                <w:b/>
                <w:color w:val="FFFFFF"/>
                <w:sz w:val="20"/>
              </w:rPr>
              <w:t>標準應用情境</w:t>
            </w:r>
          </w:p>
        </w:tc>
      </w:tr>
      <w:tr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Primary 暖赭石橙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#D96B27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217, 107, 39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主標題、核心關鍵字、封面首要引導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Secondary 綠松石青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#2B5F6B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43, 95, 107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副標題、次級章節、專業標籤、架構分區</w:t>
            </w:r>
          </w:p>
        </w:tc>
      </w:tr>
      <w:tr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Tertiary 法老琥珀金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#E5A93C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229, 169, 60</w:t>
            </w:r>
          </w:p>
        </w:tc>
        <w:tc>
          <w:tcPr>
            <w:tcW w:type="dxa" w:w="2340"/>
            <w:shd w:fill="FAF7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KPI 高亮、決策重點卡片邊框、徽章亮色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b/>
                <w:color w:val="1F2421"/>
                <w:sz w:val="19"/>
              </w:rPr>
              <w:t>Neutral 曜石深灰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#1F2421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31, 36, 33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Inter" w:hAnsi="Inter"/>
                <w:color w:val="1F2421"/>
                <w:sz w:val="19"/>
              </w:rPr>
              <w:t>主要內文正文、高可讀性段落文字</w:t>
            </w:r>
          </w:p>
        </w:tc>
      </w:tr>
    </w:tbl>
    <w:p>
      <w:pPr>
        <w:spacing w:before="2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8" w:space="0" w:color="E5A93C"/>
              <w:top w:val="none"/>
              <w:right w:val="none"/>
              <w:bottom w:val="none"/>
            </w:tcBorders>
          </w:tcPr>
          <w:p>
            <w:r>
              <w:rPr>
                <w:rFonts w:ascii="Outfit" w:hAnsi="Outfit"/>
                <w:b/>
                <w:color w:val="D96B27"/>
                <w:sz w:val="21"/>
              </w:rPr>
              <w:t>💡 法定落款與輸出規範提示：</w:t>
              <w:br/>
            </w:r>
            <w:r>
              <w:rPr>
                <w:rFonts w:ascii="Inter" w:hAnsi="Inter"/>
                <w:color w:val="1F2421"/>
                <w:sz w:val="19"/>
              </w:rPr>
              <w:t>所有透過 HermesAgent 產出之研究白皮書、架構評估案及策略提案，在封面及頁尾必須嚴格保留『報告人 Howard Liao Ph.D.(廖倫豪 博士)』標準字樣，以確保智慧產權標註完整與高階學術權威信譽。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Inter" w:hAnsi="Inter"/>
        <w:color w:val="6B726C"/>
        <w:sz w:val="17"/>
      </w:rPr>
      <w:t>報告人 Howard Liao Ph.D.(廖倫豪 博士)  |  學術與專業研究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6B726C"/>
        <w:sz w:val="17"/>
      </w:rPr>
      <w:t>埃及法老溫暖學術風格 | 規範與實務指南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