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eastAsia="微軟正黑體">
          <w:rFonts w:ascii="微軟正黑體" w:hAnsi="微軟正黑體"/>
          <w:b/>
          <w:i w:val="0"/>
          <w:color w:val="0F172A"/>
          <w:sz w:val="40"/>
        </w:rPr>
        <w:t>Howard Liao Ph.D. (廖倫豪 博士)</w:t>
      </w:r>
    </w:p>
    <w:p>
      <w:pPr>
        <w:spacing w:before="0" w:after="80"/>
      </w:pPr>
      <w:r>
        <w:rPr w:eastAsia="微軟正黑體">
          <w:rFonts w:ascii="微軟正黑體" w:hAnsi="微軟正黑體"/>
          <w:b/>
          <w:i w:val="0"/>
          <w:color w:val="B45309"/>
          <w:sz w:val="22"/>
        </w:rPr>
        <w:t>全球應用治理與交付負責人 (Global Head of Application Governance) | VP of Tech / CIO / CISO</w:t>
      </w:r>
    </w:p>
    <w:p>
      <w:pPr>
        <w:spacing w:before="0" w:after="240"/>
      </w:pPr>
      <w:r>
        <w:rPr w:eastAsia="微軟正黑體">
          <w:rFonts w:ascii="微軟正黑體" w:hAnsi="微軟正黑體"/>
          <w:b w:val="0"/>
          <w:i w:val="0"/>
          <w:color w:val="64748B"/>
          <w:sz w:val="19"/>
        </w:rPr>
        <w:t>聯絡信箱: liao.howard@gmail.com  |  官方戰略作品集: https://howardliao.github.io/portfolio/  |  雙重驗證</w:t>
      </w:r>
    </w:p>
    <w:p>
      <w:pPr>
        <w:keepNext/>
        <w:spacing w:before="280" w:after="120"/>
        <w:pBdr>
          <w:bottom w:val="single" w:sz="12" w:space="4" w:color="B45309"/>
        </w:pBdr>
      </w:pPr>
      <w:r>
        <w:rPr w:eastAsia="微軟正黑體">
          <w:rFonts w:ascii="微軟正黑體" w:hAnsi="微軟正黑體"/>
          <w:b/>
          <w:i w:val="0"/>
          <w:color w:val="0F172A"/>
          <w:sz w:val="26"/>
        </w:rPr>
        <w:t>一、 高階執行摘要與戰略營運成效 (Executive Summary &amp; Business Impact)</w:t>
      </w:r>
    </w:p>
    <w:p>
      <w:pPr>
        <w:spacing w:line="300" w:lineRule="auto" w:after="160"/>
      </w:pPr>
      <w:r>
        <w:rPr w:eastAsia="微軟正黑體">
          <w:rFonts w:ascii="微軟正黑體" w:hAnsi="微軟正黑體"/>
          <w:b w:val="0"/>
          <w:i w:val="0"/>
          <w:color w:val="334155"/>
          <w:sz w:val="19"/>
        </w:rPr>
        <w:t>我是廖倫豪博士，現任跨國網絡科技與娛樂平台集團副總 暨 IT Director（直報 Global CIO / 董事會）。我具備 20+ 年跨國企業應用治理、SAP ERP 藍圖規劃、Java/Spring Boot 軟體工程架構與資安/AI SDLC 實戰經驗。我擅長將 CIO 企業策略轉化為 3 年應用地圖 (Application Roadmap)，掌管 SAP Clean Core、微服務 API-first、DevSecOps 品質關卡 (Quality Gates) 與全球 SI/顧問 供應商治理 (CAPEX/OPEX)。我精通 SoD、IAM 零信任資安與 AI 賦能開發治理，能把 ERP、資料平台、微服務與 AI 治理整合成可擴張、可稽核、可量化 ROI 的全球應用營運能力。</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48"/>
            <w:shd w:fill="F8FAFC"/>
            <w:tcBorders>
              <w:top w:val="single" w:sz="6" w:space="0" w:color="CBD5E1"/>
              <w:left w:val="single" w:sz="6" w:space="0" w:color="CBD5E1"/>
              <w:bottom w:val="single" w:sz="6" w:space="0" w:color="CBD5E1"/>
              <w:right w:val="single" w:sz="6" w:space="0" w:color="CBD5E1"/>
            </w:tcBorders>
          </w:tcPr>
          <w:p>
            <w:pPr>
              <w:spacing w:before="80" w:after="20"/>
              <w:jc w:val="center"/>
            </w:pPr>
            <w:r>
              <w:rPr w:eastAsia="微軟正黑體">
                <w:rFonts w:ascii="微軟正黑體" w:hAnsi="微軟正黑體"/>
                <w:b/>
                <w:i w:val="0"/>
                <w:color w:val="B45309"/>
                <w:sz w:val="26"/>
              </w:rPr>
              <w:t>$10M+</w:t>
            </w:r>
          </w:p>
          <w:p>
            <w:pPr>
              <w:spacing w:before="0" w:after="40"/>
              <w:jc w:val="center"/>
            </w:pPr>
            <w:r>
              <w:rPr w:eastAsia="微軟正黑體">
                <w:rFonts w:ascii="微軟正黑體" w:hAnsi="微軟正黑體"/>
                <w:b/>
                <w:i w:val="0"/>
                <w:color w:val="0F172A"/>
                <w:sz w:val="17"/>
              </w:rPr>
              <w:t>全球IT/ERP資本治理</w:t>
            </w:r>
          </w:p>
          <w:p>
            <w:pPr>
              <w:spacing w:before="0" w:after="80"/>
              <w:jc w:val="center"/>
            </w:pPr>
            <w:r>
              <w:rPr w:eastAsia="微軟正黑體">
                <w:rFonts w:ascii="微軟正黑體" w:hAnsi="微軟正黑體"/>
                <w:b w:val="0"/>
                <w:i w:val="0"/>
                <w:color w:val="64748B"/>
                <w:sz w:val="15"/>
              </w:rPr>
              <w:t>直報董事會之全球 IT、SAP Clean Core 與外包 SI 預算統籌</w:t>
            </w:r>
          </w:p>
        </w:tc>
        <w:tc>
          <w:tcPr>
            <w:tcW w:type="dxa" w:w="2448"/>
            <w:shd w:fill="F8FAFC"/>
            <w:tcBorders>
              <w:top w:val="single" w:sz="6" w:space="0" w:color="CBD5E1"/>
              <w:left w:val="single" w:sz="6" w:space="0" w:color="CBD5E1"/>
              <w:bottom w:val="single" w:sz="6" w:space="0" w:color="CBD5E1"/>
              <w:right w:val="single" w:sz="6" w:space="0" w:color="CBD5E1"/>
            </w:tcBorders>
          </w:tcPr>
          <w:p>
            <w:pPr>
              <w:spacing w:before="80" w:after="20"/>
              <w:jc w:val="center"/>
            </w:pPr>
            <w:r>
              <w:rPr w:eastAsia="微軟正黑體">
                <w:rFonts w:ascii="微軟正黑體" w:hAnsi="微軟正黑體"/>
                <w:b/>
                <w:i w:val="0"/>
                <w:color w:val="B45309"/>
                <w:sz w:val="26"/>
              </w:rPr>
              <w:t>-30%</w:t>
            </w:r>
          </w:p>
          <w:p>
            <w:pPr>
              <w:spacing w:before="0" w:after="40"/>
              <w:jc w:val="center"/>
            </w:pPr>
            <w:r>
              <w:rPr w:eastAsia="微軟正黑體">
                <w:rFonts w:ascii="微軟正黑體" w:hAnsi="微軟正黑體"/>
                <w:b/>
                <w:i w:val="0"/>
                <w:color w:val="0F172A"/>
                <w:sz w:val="17"/>
              </w:rPr>
              <w:t>跨國多雲架構成本</w:t>
            </w:r>
          </w:p>
          <w:p>
            <w:pPr>
              <w:spacing w:before="0" w:after="80"/>
              <w:jc w:val="center"/>
            </w:pPr>
            <w:r>
              <w:rPr w:eastAsia="微軟正黑體">
                <w:rFonts w:ascii="微軟正黑體" w:hAnsi="微軟正黑體"/>
                <w:b w:val="0"/>
                <w:i w:val="0"/>
                <w:color w:val="64748B"/>
                <w:sz w:val="15"/>
              </w:rPr>
              <w:t>FinOps 多雲容器部署與資源治理，實質壓降總持有成本</w:t>
            </w:r>
          </w:p>
        </w:tc>
        <w:tc>
          <w:tcPr>
            <w:tcW w:type="dxa" w:w="2448"/>
            <w:shd w:fill="F8FAFC"/>
            <w:tcBorders>
              <w:top w:val="single" w:sz="6" w:space="0" w:color="CBD5E1"/>
              <w:left w:val="single" w:sz="6" w:space="0" w:color="CBD5E1"/>
              <w:bottom w:val="single" w:sz="6" w:space="0" w:color="CBD5E1"/>
              <w:right w:val="single" w:sz="6" w:space="0" w:color="CBD5E1"/>
            </w:tcBorders>
          </w:tcPr>
          <w:p>
            <w:pPr>
              <w:spacing w:before="80" w:after="20"/>
              <w:jc w:val="center"/>
            </w:pPr>
            <w:r>
              <w:rPr w:eastAsia="微軟正黑體">
                <w:rFonts w:ascii="微軟正黑體" w:hAnsi="微軟正黑體"/>
                <w:b/>
                <w:i w:val="0"/>
                <w:color w:val="B45309"/>
                <w:sz w:val="26"/>
              </w:rPr>
              <w:t>+15%</w:t>
            </w:r>
          </w:p>
          <w:p>
            <w:pPr>
              <w:spacing w:before="0" w:after="40"/>
              <w:jc w:val="center"/>
            </w:pPr>
            <w:r>
              <w:rPr w:eastAsia="微軟正黑體">
                <w:rFonts w:ascii="微軟正黑體" w:hAnsi="微軟正黑體"/>
                <w:b/>
                <w:i w:val="0"/>
                <w:color w:val="0F172A"/>
                <w:sz w:val="17"/>
              </w:rPr>
              <w:t>智慧製造產品良率</w:t>
            </w:r>
          </w:p>
          <w:p>
            <w:pPr>
              <w:spacing w:before="0" w:after="80"/>
              <w:jc w:val="center"/>
            </w:pPr>
            <w:r>
              <w:rPr w:eastAsia="微軟正黑體">
                <w:rFonts w:ascii="微軟正黑體" w:hAnsi="微軟正黑體"/>
                <w:b w:val="0"/>
                <w:i w:val="0"/>
                <w:color w:val="64748B"/>
                <w:sz w:val="15"/>
              </w:rPr>
              <w:t>Edge AIoT 數據中台與機器學習良率預測模型生產優化</w:t>
            </w:r>
          </w:p>
        </w:tc>
        <w:tc>
          <w:tcPr>
            <w:tcW w:type="dxa" w:w="2448"/>
            <w:shd w:fill="F8FAFC"/>
            <w:tcBorders>
              <w:top w:val="single" w:sz="6" w:space="0" w:color="CBD5E1"/>
              <w:left w:val="single" w:sz="6" w:space="0" w:color="CBD5E1"/>
              <w:bottom w:val="single" w:sz="6" w:space="0" w:color="CBD5E1"/>
              <w:right w:val="single" w:sz="6" w:space="0" w:color="CBD5E1"/>
            </w:tcBorders>
          </w:tcPr>
          <w:p>
            <w:pPr>
              <w:spacing w:before="80" w:after="20"/>
              <w:jc w:val="center"/>
            </w:pPr>
            <w:r>
              <w:rPr w:eastAsia="微軟正黑體">
                <w:rFonts w:ascii="微軟正黑體" w:hAnsi="微軟正黑體"/>
                <w:b/>
                <w:i w:val="0"/>
                <w:color w:val="B45309"/>
                <w:sz w:val="26"/>
              </w:rPr>
              <w:t>100%</w:t>
            </w:r>
          </w:p>
          <w:p>
            <w:pPr>
              <w:spacing w:before="0" w:after="40"/>
              <w:jc w:val="center"/>
            </w:pPr>
            <w:r>
              <w:rPr w:eastAsia="微軟正黑體">
                <w:rFonts w:ascii="微軟正黑體" w:hAnsi="微軟正黑體"/>
                <w:b/>
                <w:i w:val="0"/>
                <w:color w:val="0F172A"/>
                <w:sz w:val="17"/>
              </w:rPr>
              <w:t>Zero Outage 零停機</w:t>
            </w:r>
          </w:p>
          <w:p>
            <w:pPr>
              <w:spacing w:before="0" w:after="80"/>
              <w:jc w:val="center"/>
            </w:pPr>
            <w:r>
              <w:rPr w:eastAsia="微軟正黑體">
                <w:rFonts w:ascii="微軟正黑體" w:hAnsi="微軟正黑體"/>
                <w:b w:val="0"/>
                <w:i w:val="0"/>
                <w:color w:val="64748B"/>
                <w:sz w:val="15"/>
              </w:rPr>
              <w:t>六朵雲 GKE 容器化與 MongoDB Atlas 全託管極致高可用</w:t>
            </w:r>
          </w:p>
        </w:tc>
      </w:tr>
    </w:tbl>
    <w:p>
      <w:pPr>
        <w:spacing w:after="120"/>
      </w:pPr>
    </w:p>
    <w:p>
      <w:pPr>
        <w:keepNext/>
        <w:spacing w:before="280" w:after="120"/>
        <w:pBdr>
          <w:bottom w:val="single" w:sz="12" w:space="4" w:color="B45309"/>
        </w:pBdr>
      </w:pPr>
      <w:r>
        <w:rPr w:eastAsia="微軟正黑體">
          <w:rFonts w:ascii="微軟正黑體" w:hAnsi="微軟正黑體"/>
          <w:b/>
          <w:i w:val="0"/>
          <w:color w:val="0F172A"/>
          <w:sz w:val="26"/>
        </w:rPr>
        <w:t>二、 主要工作經歷與實戰成效 (Professional Experience)</w:t>
      </w:r>
    </w:p>
    <w:p>
      <w:pPr>
        <w:keepNext/>
        <w:spacing w:before="160" w:after="40"/>
      </w:pPr>
      <w:r>
        <w:rPr w:eastAsia="微軟正黑體">
          <w:rFonts w:ascii="微軟正黑體" w:hAnsi="微軟正黑體"/>
          <w:b/>
          <w:i w:val="0"/>
          <w:color w:val="0F172A"/>
          <w:sz w:val="21"/>
        </w:rPr>
        <w:t>• 副總 暨 IT Director (直報 Global CIO / 董事會) - 全球應用治理與交付負責人</w:t>
        <w:br/>
      </w:r>
      <w:r>
        <w:rPr w:eastAsia="微軟正黑體">
          <w:rFonts w:ascii="微軟正黑體" w:hAnsi="微軟正黑體"/>
          <w:b/>
          <w:i w:val="0"/>
          <w:color w:val="B45309"/>
          <w:sz w:val="18"/>
        </w:rPr>
        <w:t xml:space="preserve">  跨國網絡科技與娛樂平台集團 (高雄 / 台北 / 上海)  |  2025.05 – 至今</w:t>
      </w:r>
    </w:p>
    <w:p>
      <w:pPr>
        <w:spacing w:line="300" w:lineRule="auto" w:after="120"/>
        <w:ind w:left="288"/>
      </w:pPr>
      <w:r>
        <w:rPr w:eastAsia="微軟正黑體">
          <w:rFonts w:ascii="微軟正黑體" w:hAnsi="微軟正黑體"/>
          <w:b w:val="0"/>
          <w:i w:val="0"/>
          <w:color w:val="334155"/>
          <w:sz w:val="18"/>
        </w:rPr>
        <w:t>我直接向 Global CIO 與集團董事會匯報，統籌管理跨高雄、台北、上海三地研發中心與全球跨區業務之應用治理與技術交付（Global Application Governance &amp; Delivery）。我主導制定集團「3 年企業應用地圖 (Application Roadmap)」，全面管控最高 1,000 萬美元級別之 IT 資本支出（CAPEX）與營運費用（OPEX），並嚴格治理跨國 SI 系統整合商及顧問供應商。在架構層面，我推行 SAP S/4HANA Clean Core 原則，削減高達 35% 之客製程式碼，使標準業務流程覆蓋率躍升至 90% 以上；同時主導架構審查委員會 (ARB)，確立 Java / Spring Boot API-first 微服務技術標準。為破除企業資訊孤島，我建立以 Apache Kafka、EDI 及 IDoc 為核心的企業級整合中台與 Canonical Data Model，杜絕點對點相依技術債。此外，我全面導入 DevSecOps 自動化品質關卡 (SAST/DAST/SBOM) 及 AI-augmented SDLC（AI 輔助代碼審查與測試自動生成），使系統交付 Lead Time 縮短 40%、缺陷逃逸率降低 35%、多雲持有成本壓降 30%，並在跨國業務高峰下維持 100% Zero Outage 完美營運。</w:t>
      </w:r>
    </w:p>
    <w:p>
      <w:pPr>
        <w:keepNext/>
        <w:spacing w:before="160" w:after="40"/>
      </w:pPr>
      <w:r>
        <w:rPr w:eastAsia="微軟正黑體">
          <w:rFonts w:ascii="微軟正黑體" w:hAnsi="微軟正黑體"/>
          <w:b/>
          <w:i w:val="0"/>
          <w:color w:val="0F172A"/>
          <w:sz w:val="21"/>
        </w:rPr>
        <w:t>• IT Director (CIO / CISO / CDAIO)</w:t>
        <w:br/>
      </w:r>
      <w:r>
        <w:rPr w:eastAsia="微軟正黑體">
          <w:rFonts w:ascii="微軟正黑體" w:hAnsi="微軟正黑體"/>
          <w:b/>
          <w:i w:val="0"/>
          <w:color w:val="B45309"/>
          <w:sz w:val="18"/>
        </w:rPr>
        <w:t xml:space="preserve">  上市櫃數位科技與娛樂集團 (6542.TWO)  |  2022.01 – 2025.04</w:t>
      </w:r>
    </w:p>
    <w:p>
      <w:pPr>
        <w:spacing w:line="300" w:lineRule="auto" w:after="120"/>
        <w:ind w:left="288"/>
      </w:pPr>
      <w:r>
        <w:rPr w:eastAsia="微軟正黑體">
          <w:rFonts w:ascii="微軟正黑體" w:hAnsi="微軟正黑體"/>
          <w:b w:val="0"/>
          <w:i w:val="0"/>
          <w:color w:val="334155"/>
          <w:sz w:val="18"/>
        </w:rPr>
        <w:t>我全面掌管集團跨國多雲基礎設施、資訊安全體系與海量大數據平台，統籌跨兩岸三地的技術架構研發與維運治理。任內主導集團核心業務自傳統虛擬機全面向雲原生（Cloud-Native）架構演進，全面推進 Google Kubernetes Engine (GKE) 容器化改造與自動化 CI/CD 流水線，將新功能發布與環境交付週期縮短一倍以上，達成部署效率提升 100% 的突破性躍進。在資料層現代化方面，我率領架構團隊將龐大且高負載的核心交易與遊戲數據，平滑遷移至 MongoDB Atlas 全託管跨國分散式叢集，建構兼具全球即時讀寫分離與自動水平擴展之高可用架構。面對海外多區百萬級玩家跨國連線的極端高併發峰值與巨量突發流量，透過自我修復（Self-Healing）機制與跨區域容災備援設計，達成跨國服務 100% 零中斷（Zero Outage）的極致可靠性指標。同時，我深度推行 FinOps 雲端成本治理與運算資源動態調度，建立精準的資源計量與持續優化模型，在支撐全球業務量高速增長的同時，實現多雲總持有成本（TCO）實質降低 30%。在資安與合規層面，我主導全面落實 ISO 27001 資訊安全管理系統（ISMS）與零信任（Zero Trust）架構，建立自動化靜態與動態安全檢測關卡，兼顧高敏捷交付與企業級資安防禦。此一現代化雲端轉型專案更獲 Google Cloud 官方評選為全球客戶成功案例並進行專題專訪，成為亞太地區數位娛樂與高併發架構轉型的旗艦標竿。</w:t>
      </w:r>
    </w:p>
    <w:p>
      <w:pPr>
        <w:keepNext/>
        <w:spacing w:before="160" w:after="40"/>
      </w:pPr>
      <w:r>
        <w:rPr w:eastAsia="微軟正黑體">
          <w:rFonts w:ascii="微軟正黑體" w:hAnsi="微軟正黑體"/>
          <w:b/>
          <w:i w:val="0"/>
          <w:color w:val="0F172A"/>
          <w:sz w:val="21"/>
        </w:rPr>
        <w:t>• 資訊長 暨 資安長 (CIO / CISO)</w:t>
        <w:br/>
      </w:r>
      <w:r>
        <w:rPr w:eastAsia="微軟正黑體">
          <w:rFonts w:ascii="微軟正黑體" w:hAnsi="微軟正黑體"/>
          <w:b/>
          <w:i w:val="0"/>
          <w:color w:val="B45309"/>
          <w:sz w:val="18"/>
        </w:rPr>
        <w:t xml:space="preserve">  國際高科技電子製造集團  |  2018.05 – 2021.12</w:t>
      </w:r>
    </w:p>
    <w:p>
      <w:pPr>
        <w:spacing w:line="300" w:lineRule="auto" w:after="120"/>
        <w:ind w:left="288"/>
      </w:pPr>
      <w:r>
        <w:rPr w:eastAsia="微軟正黑體">
          <w:rFonts w:ascii="微軟正黑體" w:hAnsi="微軟正黑體"/>
          <w:b w:val="0"/>
          <w:i w:val="0"/>
          <w:color w:val="334155"/>
          <w:sz w:val="18"/>
        </w:rPr>
        <w:t>我全面統籌集團跨國多廠區之智慧製造 OT/IT 深度融合工程與企業級資訊戰略規劃。在核心營運維度，我主導導入 SAP S/4HANA Clean Core 架構，無縫對接製造執行系統（MES）、產品生命週期管理（PLM）與進階規劃排程系統（APS），徹底打通自客戶訂單、物料供應鏈至現場工單執行的全鏈路自動化數據流。為實踐工業 4.0 智慧工廠願景，我帶隊打造工業級 Edge AIoT 數據中台，於上千台 SMT 與組裝產線設備佈署邊緣感測與即時數據採集系統，並自行研發機器學習不良品預測模型與設備預測性維護算法，使關鍵產品製程良率實質躍升 15%、產線設備綜合效率（OEE）增長 18%，大幅降低非計畫性停機損失。在資安治理方面，我依循 IEC 62443 工控安全標準與 ISO 27001 規範，規劃 OT/IT 網路微隔離架構與身分存取治理，嚴防勒索病毒穿透產線；同時建立與國際一線品牌客戶之 B2B EDI 供應鏈自動化對接體系，為跨國製造營運奠定零盲區的數據治理基石。</w:t>
      </w:r>
    </w:p>
    <w:p>
      <w:pPr>
        <w:keepNext/>
        <w:spacing w:before="160" w:after="40"/>
      </w:pPr>
      <w:r>
        <w:rPr w:eastAsia="微軟正黑體">
          <w:rFonts w:ascii="微軟正黑體" w:hAnsi="微軟正黑體"/>
          <w:b/>
          <w:i w:val="0"/>
          <w:color w:val="0F172A"/>
          <w:sz w:val="21"/>
        </w:rPr>
        <w:t>• 資訊科技副總 暨 數位轉型總監</w:t>
        <w:br/>
      </w:r>
      <w:r>
        <w:rPr w:eastAsia="微軟正黑體">
          <w:rFonts w:ascii="微軟正黑體" w:hAnsi="微軟正黑體"/>
          <w:b/>
          <w:i w:val="0"/>
          <w:color w:val="B45309"/>
          <w:sz w:val="18"/>
        </w:rPr>
        <w:t xml:space="preserve">  上市櫃數位科技集團 (5212.TWO)  |  2014.10 – 2018.04</w:t>
      </w:r>
    </w:p>
    <w:p>
      <w:pPr>
        <w:spacing w:line="300" w:lineRule="auto" w:after="120"/>
        <w:ind w:left="288"/>
      </w:pPr>
      <w:r>
        <w:rPr w:eastAsia="微軟正黑體">
          <w:rFonts w:ascii="微軟正黑體" w:hAnsi="微軟正黑體"/>
          <w:b w:val="0"/>
          <w:i w:val="0"/>
          <w:color w:val="334155"/>
          <w:sz w:val="18"/>
        </w:rPr>
        <w:t>我掌管集團軟體研發中心、大數據應用與企業數位轉型總體策略推進，領導逾 50 位跨職能工程師、架構師與產品顧問組成的多個敏捷交付戰隊（Agile Squads）。任內針對集團面臨的高負載瓶頸，大刀闊斧推動核心系統從肥大單體架構（Monolith）徹底重構為 Java / Spring Cloud 微服務與 API-First 開放架構，實現跨模組解耦與水平彈性伸縮。我全面建立現代化軟體工程規範，落實測試驅動開發（TDD）、代碼自動化靜態分析（SonarQube）與標準化 CI/CD 持續整合部署流水線，將新產品交付前置時間（Lead Time）顯著壓縮 40% 以上。在商業端，我主導面向大型 B2B 企業客戶的關鍵數位平台規劃與落地，主持架構設計審查與非功能性需求（NFR）驗收，達成年度營運服務協議（SLA）99.95% 以上之穩定指標，並成功在系統上線首年創造超越預期之正向投資報酬率（ROI），成功樹立傳統軟體服務向現代化 SaaS 與微服務架構演進之轉型典範。</w:t>
      </w:r>
    </w:p>
    <w:p>
      <w:pPr>
        <w:keepNext/>
        <w:spacing w:before="160" w:after="40"/>
      </w:pPr>
      <w:r>
        <w:rPr w:eastAsia="微軟正黑體">
          <w:rFonts w:ascii="微軟正黑體" w:hAnsi="微軟正黑體"/>
          <w:b/>
          <w:i w:val="0"/>
          <w:color w:val="0F172A"/>
          <w:sz w:val="21"/>
        </w:rPr>
        <w:t>• 大中華區資深技術經理 / 產品服務負責人</w:t>
        <w:br/>
      </w:r>
      <w:r>
        <w:rPr w:eastAsia="微軟正黑體">
          <w:rFonts w:ascii="微軟正黑體" w:hAnsi="微軟正黑體"/>
          <w:b/>
          <w:i w:val="0"/>
          <w:color w:val="B45309"/>
          <w:sz w:val="18"/>
        </w:rPr>
        <w:t xml:space="preserve">  美商寶蘭股份有限公司 (Borland Taiwan) / 美商 Sybase  |  2008.03 – 2014.09</w:t>
      </w:r>
    </w:p>
    <w:p>
      <w:pPr>
        <w:spacing w:line="300" w:lineRule="auto" w:after="120"/>
        <w:ind w:left="288"/>
      </w:pPr>
      <w:r>
        <w:rPr w:eastAsia="微軟正黑體">
          <w:rFonts w:ascii="微軟正黑體" w:hAnsi="微軟正黑體"/>
          <w:b w:val="0"/>
          <w:i w:val="0"/>
          <w:color w:val="334155"/>
          <w:sz w:val="18"/>
        </w:rPr>
        <w:t>我全面負責大中華區企業級軟體研發生命週期管理（ALM）與分散式資料庫中台解決方案之架構諮詢與技術交付。任內主導導入 Borland Caliber（需求生命週期）、Together（模型驅動架構 UML）與 StarTeam（配置與變更治理）等世界級工程工具鏈，為跨國金融外銀（如花旗銀行、匯豐銀行）、跨國電信運營商及晶圓半導體龍頭提供敏捷開發轉型與軟體工程治理體系諮詢。在 Sybase 時期，我主導金融級高可用關聯式資料庫（Sybase ASE）與即時資料複製伺服器（Replication Server）之高可用架構設計與性能調優，支撐極端低延遲的證券核心交易，達成毫秒級跨中心數據同步與零丟失容災目標。我帶領專業技術顧問戰隊持續超越年度專業服務績效，實現客戶年度續約率與滿意度 120% 達標，奠定跨國軟體工程標準化深厚實力。</w:t>
      </w:r>
    </w:p>
    <w:p>
      <w:pPr>
        <w:keepNext/>
        <w:spacing w:before="160" w:after="40"/>
      </w:pPr>
      <w:r>
        <w:rPr w:eastAsia="微軟正黑體">
          <w:rFonts w:ascii="微軟正黑體" w:hAnsi="微軟正黑體"/>
          <w:b/>
          <w:i w:val="0"/>
          <w:color w:val="0F172A"/>
          <w:sz w:val="21"/>
        </w:rPr>
        <w:t>• 資深企業系統架構師 / 軟體工程專案經理</w:t>
        <w:br/>
      </w:r>
      <w:r>
        <w:rPr w:eastAsia="微軟正黑體">
          <w:rFonts w:ascii="微軟正黑體" w:hAnsi="微軟正黑體"/>
          <w:b/>
          <w:i w:val="0"/>
          <w:color w:val="B45309"/>
          <w:sz w:val="18"/>
        </w:rPr>
        <w:t xml:space="preserve">  財團法人資訊工業策進會 (III / MIC) / 國家級科技專案智庫  |  1998.07 – 2008.02</w:t>
      </w:r>
    </w:p>
    <w:p>
      <w:pPr>
        <w:spacing w:line="300" w:lineRule="auto" w:after="120"/>
        <w:ind w:left="288"/>
      </w:pPr>
      <w:r>
        <w:rPr w:eastAsia="微軟正黑體">
          <w:rFonts w:ascii="微軟正黑體" w:hAnsi="微軟正黑體"/>
          <w:b w:val="0"/>
          <w:i w:val="0"/>
          <w:color w:val="334155"/>
          <w:sz w:val="18"/>
        </w:rPr>
        <w:t>我投身國家級大型企業資訊化示範工程與前瞻軟體架構研發，長期擔任經濟部商業司及大型公私立機構跨單位系統之核心架構師。主導多項大型分散式資訊系統（Distributed Systems）與企業應用整合（EAI）專案設計，規劃高吞吐量中台以支撐千萬級交易運作。任內深入鑽研第一代 Java J2EE 企業架構、CORBA 分散式組件、RPC 與物件導向方法論（OOAD / UML），為政府與製造產業制定跨組織通用軟體元件庫與資料交換標準（XML / SOAP EDI）。同時，我主導多次覆蓋數千人規模之企業資訊安全弱點評估與災難復原演練，奠定日後 27 年橫跨大型金融、製造與網路平台之高管架構工程底蘊。</w:t>
      </w:r>
    </w:p>
    <w:p>
      <w:pPr>
        <w:keepNext/>
        <w:spacing w:before="280" w:after="120"/>
        <w:pBdr>
          <w:bottom w:val="single" w:sz="12" w:space="4" w:color="B45309"/>
        </w:pBdr>
      </w:pPr>
      <w:r>
        <w:rPr w:eastAsia="微軟正黑體">
          <w:rFonts w:ascii="微軟正黑體" w:hAnsi="微軟正黑體"/>
          <w:b/>
          <w:i w:val="0"/>
          <w:color w:val="0F172A"/>
          <w:sz w:val="26"/>
        </w:rPr>
        <w:t>三、 學術底蘊、研究著作與法定典藏 (Education &amp; Scholarly Research)</w:t>
      </w:r>
    </w:p>
    <w:p>
      <w:pPr>
        <w:spacing w:before="40" w:after="40"/>
        <w:ind w:left="216"/>
      </w:pPr>
      <w:r>
        <w:t xml:space="preserve">🎓 </w:t>
      </w:r>
      <w:r>
        <w:rPr w:eastAsia="微軟正黑體">
          <w:rFonts w:ascii="微軟正黑體" w:hAnsi="微軟正黑體"/>
          <w:b w:val="0"/>
          <w:i w:val="0"/>
          <w:color w:val="334155"/>
          <w:sz w:val="18"/>
        </w:rPr>
        <w:t>資訊科技管理博士 (Ph.D. in IT Management) | 朝陽科技大學 (2014.10) — 論文《整合系統的商業自助式入口網站植基於調適性服務導向架構資訊科技治理之研究》，結合 ITIL V3 與 SOA 服務導向架構建立企業級入口網站 IT 治理模型，典藏於國家圖書館 (ndltd.ncl.edu.tw)。</w:t>
      </w:r>
    </w:p>
    <w:p>
      <w:pPr>
        <w:spacing w:before="40" w:after="40"/>
        <w:ind w:left="216"/>
      </w:pPr>
      <w:r>
        <w:t xml:space="preserve">🎓 </w:t>
      </w:r>
      <w:r>
        <w:rPr w:eastAsia="微軟正黑體">
          <w:rFonts w:ascii="微軟正黑體" w:hAnsi="微軟正黑體"/>
          <w:b w:val="0"/>
          <w:i w:val="0"/>
          <w:color w:val="334155"/>
          <w:sz w:val="18"/>
        </w:rPr>
        <w:t>資訊科技管理碩士 (MBA / MS in IT Management) | 國立大學 / 朝陽科技大學 (2006.06) — 專攻企業資料治理、數據探勘（Data Mining）與決策支援系統。</w:t>
      </w:r>
    </w:p>
    <w:p>
      <w:pPr>
        <w:spacing w:before="40" w:after="40"/>
        <w:ind w:left="216"/>
      </w:pPr>
      <w:r>
        <w:t xml:space="preserve">🎓 </w:t>
      </w:r>
      <w:r>
        <w:rPr w:eastAsia="微軟正黑體">
          <w:rFonts w:ascii="微軟正黑體" w:hAnsi="微軟正黑體"/>
          <w:b w:val="0"/>
          <w:i w:val="0"/>
          <w:color w:val="334155"/>
          <w:sz w:val="18"/>
        </w:rPr>
        <w:t>Springer Multimedia Tools and Applications (SCI 國際頂級期刊) 論文發表 — 《Reversible secret-image sharing with high visual quality》(DOI: 10.1007/s11042-014-2014-x)，提出高視覺品質之可逆秘密圖像分享密碼學演算法。</w:t>
      </w:r>
    </w:p>
    <w:p>
      <w:pPr>
        <w:spacing w:before="40" w:after="40"/>
        <w:ind w:left="216"/>
      </w:pPr>
      <w:r>
        <w:t xml:space="preserve">🎓 </w:t>
      </w:r>
      <w:r>
        <w:rPr w:eastAsia="微軟正黑體">
          <w:rFonts w:ascii="微軟正黑體" w:hAnsi="微軟正黑體"/>
          <w:b w:val="0"/>
          <w:i w:val="0"/>
          <w:color w:val="334155"/>
          <w:sz w:val="18"/>
        </w:rPr>
        <w:t>國際學術期刊論文發表 — 《Utilizing GIS and GPS in Designing a Trilingual Tourist APP》(Applied Science and Management Research, Vol. 2)，結合地理資訊系統與行動導覽架構。</w:t>
      </w:r>
    </w:p>
    <w:p>
      <w:pPr>
        <w:spacing w:before="40" w:after="40"/>
        <w:ind w:left="216"/>
      </w:pPr>
      <w:r>
        <w:t xml:space="preserve">🎓 </w:t>
      </w:r>
      <w:r>
        <w:rPr w:eastAsia="微軟正黑體">
          <w:rFonts w:ascii="微軟正黑體" w:hAnsi="微軟正黑體"/>
          <w:b w:val="0"/>
          <w:i w:val="0"/>
          <w:color w:val="334155"/>
          <w:sz w:val="18"/>
        </w:rPr>
        <w:t>國家圖書館碩博士論文知識加值系統 學術指導典藏 — 獲國家圖書館專屬學者代碼 ID: 106IKTC0183002，長期指導資訊科技管理與雲端架構碩博士論文。</w:t>
      </w:r>
    </w:p>
    <w:p>
      <w:pPr>
        <w:keepNext/>
        <w:spacing w:before="280" w:after="120"/>
        <w:pBdr>
          <w:bottom w:val="single" w:sz="12" w:space="4" w:color="B45309"/>
        </w:pBdr>
      </w:pPr>
      <w:r>
        <w:rPr w:eastAsia="微軟正黑體">
          <w:rFonts w:ascii="微軟正黑體" w:hAnsi="微軟正黑體"/>
          <w:b/>
          <w:i w:val="0"/>
          <w:color w:val="0F172A"/>
          <w:sz w:val="26"/>
        </w:rPr>
        <w:t>四、 權威第三方媒體專訪與技術演講 (Media Features &amp; Keynotes)</w:t>
      </w:r>
    </w:p>
    <w:p>
      <w:pPr>
        <w:spacing w:before="40" w:after="40"/>
        <w:ind w:left="216"/>
      </w:pPr>
      <w:r>
        <w:rPr w:eastAsia="微軟正黑體">
          <w:rFonts w:ascii="微軟正黑體" w:hAnsi="微軟正黑體"/>
          <w:b/>
          <w:i w:val="0"/>
          <w:color w:val="0F172A"/>
          <w:sz w:val="18"/>
        </w:rPr>
        <w:t>🎤 Google Cloud 官方全球客戶成功案例 (APAC Video Case Study)：</w:t>
      </w:r>
      <w:r>
        <w:rPr w:eastAsia="微軟正黑體">
          <w:rFonts w:ascii="微軟正黑體" w:hAnsi="微軟正黑體"/>
          <w:b w:val="0"/>
          <w:i w:val="0"/>
          <w:color w:val="334155"/>
          <w:sz w:val="17"/>
        </w:rPr>
        <w:t>接受 Google Cloud 官方採訪，深入解析如何運用 GKE 多雲架構與自動擴縮容技術，支撐全球百萬級高併發連線營運，創下 Zero Outage 零停機紀錄。</w:t>
      </w:r>
    </w:p>
    <w:p>
      <w:pPr>
        <w:spacing w:before="40" w:after="40"/>
        <w:ind w:left="216"/>
      </w:pPr>
      <w:r>
        <w:rPr w:eastAsia="微軟正黑體">
          <w:rFonts w:ascii="微軟正黑體" w:hAnsi="微軟正黑體"/>
          <w:b/>
          <w:i w:val="0"/>
          <w:color w:val="0F172A"/>
          <w:sz w:val="18"/>
        </w:rPr>
        <w:t>🎤 CIO Taiwan 官方深度專訪 (封面人物專訪)：</w:t>
      </w:r>
      <w:r>
        <w:rPr w:eastAsia="微軟正黑體">
          <w:rFonts w:ascii="微軟正黑體" w:hAnsi="微軟正黑體"/>
          <w:b w:val="0"/>
          <w:i w:val="0"/>
          <w:color w:val="334155"/>
          <w:sz w:val="17"/>
        </w:rPr>
        <w:t>接受總編輯施鑫澤採訪《善用公有雲服務 搶攻全球遊戲商機》，深入剖析多雲網路（MCN）與 Kubernetes 原生架構戰略，整合單一主控台。</w:t>
      </w:r>
    </w:p>
    <w:p>
      <w:pPr>
        <w:spacing w:before="40" w:after="40"/>
        <w:ind w:left="216"/>
      </w:pPr>
      <w:r>
        <w:rPr w:eastAsia="微軟正黑體">
          <w:rFonts w:ascii="微軟正黑體" w:hAnsi="微軟正黑體"/>
          <w:b/>
          <w:i w:val="0"/>
          <w:color w:val="0F172A"/>
          <w:sz w:val="18"/>
        </w:rPr>
        <w:t>🎤 iThome 電腦報 專題企劃採訪：</w:t>
      </w:r>
      <w:r>
        <w:rPr w:eastAsia="微軟正黑體">
          <w:rFonts w:ascii="微軟正黑體" w:hAnsi="微軟正黑體"/>
          <w:b w:val="0"/>
          <w:i w:val="0"/>
          <w:color w:val="334155"/>
          <w:sz w:val="17"/>
        </w:rPr>
        <w:t>發表《隆中網絡運用 MongoDB Atlas 建構遊戲資料管理平台，打造全方位休閒娛樂平台》，解析全球跨區即時對弈高併發讀寫與全託管雲端架構。</w:t>
      </w:r>
    </w:p>
    <w:p>
      <w:pPr>
        <w:spacing w:before="40" w:after="40"/>
        <w:ind w:left="216"/>
      </w:pPr>
      <w:r>
        <w:rPr w:eastAsia="微軟正黑體">
          <w:rFonts w:ascii="微軟正黑體" w:hAnsi="微軟正黑體"/>
          <w:b/>
          <w:i w:val="0"/>
          <w:color w:val="0F172A"/>
          <w:sz w:val="18"/>
        </w:rPr>
        <w:t>🎤 MongoDB.local Taipei 年度旗艦大會 Keynote 主講：</w:t>
      </w:r>
      <w:r>
        <w:rPr w:eastAsia="微軟正黑體">
          <w:rFonts w:ascii="微軟正黑體" w:hAnsi="微軟正黑體"/>
          <w:b w:val="0"/>
          <w:i w:val="0"/>
          <w:color w:val="334155"/>
          <w:sz w:val="17"/>
        </w:rPr>
        <w:t>受邀擔任大會主講嘉賓，發表《運用 MongoDB Atlas 建構全球規模遊戲資料管理平台》，現場逾 500 位 IT 領袖與架構師迴響。</w:t>
      </w:r>
    </w:p>
    <w:p>
      <w:pPr>
        <w:spacing w:before="40" w:after="40"/>
        <w:ind w:left="216"/>
      </w:pPr>
      <w:r>
        <w:rPr w:eastAsia="微軟正黑體">
          <w:rFonts w:ascii="微軟正黑體" w:hAnsi="微軟正黑體"/>
          <w:b/>
          <w:i w:val="0"/>
          <w:color w:val="0F172A"/>
          <w:sz w:val="18"/>
        </w:rPr>
        <w:t>🎤 CIO 價值學院第十七屆大會 Keynote 演講：</w:t>
      </w:r>
      <w:r>
        <w:rPr w:eastAsia="微軟正黑體">
          <w:rFonts w:ascii="微軟正黑體" w:hAnsi="微軟正黑體"/>
          <w:b w:val="0"/>
          <w:i w:val="0"/>
          <w:color w:val="334155"/>
          <w:sz w:val="17"/>
        </w:rPr>
        <w:t>向與會上市櫃企業 CIO 與 CISO 分享多雲資源治理、安全合規與 FinOps 實務落地心法。</w:t>
      </w:r>
    </w:p>
    <w:p>
      <w:pPr>
        <w:spacing w:before="40" w:after="40"/>
        <w:ind w:left="216"/>
      </w:pPr>
      <w:r>
        <w:rPr w:eastAsia="微軟正黑體">
          <w:rFonts w:ascii="微軟正黑體" w:hAnsi="微軟正黑體"/>
          <w:b/>
          <w:i w:val="0"/>
          <w:color w:val="0F172A"/>
          <w:sz w:val="18"/>
        </w:rPr>
        <w:t>🎤 行政院人事行政總處 e等公務園+學習平臺 大師講座：</w:t>
      </w:r>
      <w:r>
        <w:rPr w:eastAsia="微軟正黑體">
          <w:rFonts w:ascii="微軟正黑體" w:hAnsi="微軟正黑體"/>
          <w:b w:val="0"/>
          <w:i w:val="0"/>
          <w:color w:val="334155"/>
          <w:sz w:val="17"/>
        </w:rPr>
        <w:t>受邀錄製《洞見機遇-雲端管理與實務》大師講座數位課程，推廣公部門雲端現代化治理。</w:t>
      </w:r>
    </w:p>
    <w:p>
      <w:pPr>
        <w:keepNext/>
        <w:spacing w:before="280" w:after="120"/>
        <w:pBdr>
          <w:bottom w:val="single" w:sz="12" w:space="4" w:color="B45309"/>
        </w:pBdr>
      </w:pPr>
      <w:r>
        <w:rPr w:eastAsia="微軟正黑體">
          <w:rFonts w:ascii="微軟正黑體" w:hAnsi="微軟正黑體"/>
          <w:b/>
          <w:i w:val="0"/>
          <w:color w:val="0F172A"/>
          <w:sz w:val="26"/>
        </w:rPr>
        <w:t>五、 專業國際認證與法規治理資格 (Certifications &amp; Governance)</w:t>
      </w:r>
    </w:p>
    <w:p>
      <w:pPr>
        <w:spacing w:before="40" w:after="40"/>
        <w:ind w:left="216"/>
      </w:pPr>
      <w:r>
        <w:t xml:space="preserve">🛡️ </w:t>
      </w:r>
      <w:r>
        <w:rPr w:eastAsia="微軟正黑體">
          <w:rFonts w:ascii="微軟正黑體" w:hAnsi="微軟正黑體"/>
          <w:b w:val="0"/>
          <w:i w:val="0"/>
          <w:color w:val="334155"/>
          <w:sz w:val="18"/>
        </w:rPr>
        <w:t>ISO 27001 資訊安全管理系統 (ISMS) 主任稽核員認證 (BSI / SGS 國際驗證機構考試合格)</w:t>
      </w:r>
    </w:p>
    <w:p>
      <w:pPr>
        <w:spacing w:before="40" w:after="40"/>
        <w:ind w:left="216"/>
      </w:pPr>
      <w:r>
        <w:t xml:space="preserve">🛡️ </w:t>
      </w:r>
      <w:r>
        <w:rPr w:eastAsia="微軟正黑體">
          <w:rFonts w:ascii="微軟正黑體" w:hAnsi="微軟正黑體"/>
          <w:b w:val="0"/>
          <w:i w:val="0"/>
          <w:color w:val="334155"/>
          <w:sz w:val="18"/>
        </w:rPr>
        <w:t>ISO 42001 人工智慧管理系統 (AIMS) AI 治理主任稽核員認證 (具備法定評估演算法偏見與資安專家資格)</w:t>
      </w:r>
    </w:p>
    <w:p>
      <w:pPr>
        <w:spacing w:before="40" w:after="40"/>
        <w:ind w:left="216"/>
      </w:pPr>
      <w:r>
        <w:t xml:space="preserve">🛡️ </w:t>
      </w:r>
      <w:r>
        <w:rPr w:eastAsia="微軟正黑體">
          <w:rFonts w:ascii="微軟正黑體" w:hAnsi="微軟正黑體"/>
          <w:b w:val="0"/>
          <w:i w:val="0"/>
          <w:color w:val="334155"/>
          <w:sz w:val="18"/>
        </w:rPr>
        <w:t>Oracle Certified Professional (OCP) / Oracle 官方原廠講師認證</w:t>
      </w:r>
    </w:p>
    <w:p>
      <w:pPr>
        <w:spacing w:before="40" w:after="40"/>
        <w:ind w:left="216"/>
      </w:pPr>
      <w:r>
        <w:t xml:space="preserve">🛡️ </w:t>
      </w:r>
      <w:r>
        <w:rPr w:eastAsia="微軟正黑體">
          <w:rFonts w:ascii="微軟正黑體" w:hAnsi="微軟正黑體"/>
          <w:b w:val="0"/>
          <w:i w:val="0"/>
          <w:color w:val="334155"/>
          <w:sz w:val="18"/>
        </w:rPr>
        <w:t>WBSA 中華行銷企劃師專業合格認證</w:t>
      </w:r>
    </w:p>
    <w:p>
      <w:pPr>
        <w:spacing w:before="40" w:after="40"/>
        <w:ind w:left="216"/>
      </w:pPr>
      <w:r>
        <w:t xml:space="preserve">🛡️ </w:t>
      </w:r>
      <w:r>
        <w:rPr w:eastAsia="微軟正黑體">
          <w:rFonts w:ascii="微軟正黑體" w:hAnsi="微軟正黑體"/>
          <w:b w:val="0"/>
          <w:i w:val="0"/>
          <w:color w:val="334155"/>
          <w:sz w:val="18"/>
        </w:rPr>
        <w:t>GS1 國際供應鏈條碼管理師認證</w:t>
      </w:r>
    </w:p>
    <w:p>
      <w:pPr>
        <w:spacing w:before="40" w:after="40"/>
        <w:ind w:left="216"/>
      </w:pPr>
      <w:r>
        <w:t xml:space="preserve">🛡️ </w:t>
      </w:r>
      <w:r>
        <w:rPr w:eastAsia="微軟正黑體">
          <w:rFonts w:ascii="微軟正黑體" w:hAnsi="微軟正黑體"/>
          <w:b w:val="0"/>
          <w:i w:val="0"/>
          <w:color w:val="334155"/>
          <w:sz w:val="18"/>
        </w:rPr>
        <w:t>財團法人康善基金會 董事兼資訊長 (CIO) — 投入醫療健康數位公益與 ESG 永續實踐</w:t>
      </w:r>
    </w:p>
    <w:p>
      <w:pPr>
        <w:keepNext/>
        <w:spacing w:before="280" w:after="120"/>
        <w:pBdr>
          <w:bottom w:val="single" w:sz="12" w:space="4" w:color="B45309"/>
        </w:pBdr>
      </w:pPr>
      <w:r>
        <w:rPr w:eastAsia="微軟正黑體">
          <w:rFonts w:ascii="微軟正黑體" w:hAnsi="微軟正黑體"/>
          <w:b/>
          <w:i w:val="0"/>
          <w:color w:val="0F172A"/>
          <w:sz w:val="26"/>
        </w:rPr>
        <w:t>六、 企業級生成式 AI 落地專案建議書藍圖精髓 (Enterprise AI Proposals)</w:t>
      </w:r>
    </w:p>
    <w:p>
      <w:pPr>
        <w:spacing w:before="60" w:after="60"/>
        <w:ind w:left="216"/>
      </w:pPr>
      <w:r>
        <w:rPr w:eastAsia="微軟正黑體">
          <w:rFonts w:ascii="微軟正黑體" w:hAnsi="微軟正黑體"/>
          <w:b/>
          <w:i w:val="0"/>
          <w:color w:val="B45309"/>
          <w:sz w:val="18"/>
        </w:rPr>
        <w:t>💡 ServiceAgent 企業級生成式 AI 中控平台架構建議書 (高科技製造業通用版)：</w:t>
        <w:br/>
      </w:r>
      <w:r>
        <w:rPr w:eastAsia="微軟正黑體">
          <w:rFonts w:ascii="微軟正黑體" w:hAnsi="微軟正黑體"/>
          <w:b w:val="0"/>
          <w:i w:val="0"/>
          <w:color w:val="334155"/>
          <w:sz w:val="17"/>
        </w:rPr>
        <w:t>提供三層中央神經系統架構 (L1 企業互動層, L2 Orchestration 決策中台, L3 Agent Runtime)，串接 OpenClaw 人機複核 (Human-in-the-Loop) 安全閘道與 25+ 格式混合 RAG 檢索，落實 SCADA 產線異常自動排查 (時間縮短 80%)，完全合規 ISO 27001/42001、NIST CSF 與歐盟 AI 法案。</w:t>
      </w:r>
    </w:p>
    <w:p>
      <w:pPr>
        <w:spacing w:before="60" w:after="60"/>
        <w:ind w:left="216"/>
      </w:pPr>
      <w:r>
        <w:rPr w:eastAsia="微軟正黑體">
          <w:rFonts w:ascii="微軟正黑體" w:hAnsi="微軟正黑體"/>
          <w:b/>
          <w:i w:val="0"/>
          <w:color w:val="B45309"/>
          <w:sz w:val="18"/>
        </w:rPr>
        <w:t>💡 ChatGPT Enterprise &amp; Agent 企業級落地與治理藍圖：</w:t>
        <w:br/>
      </w:r>
      <w:r>
        <w:rPr w:eastAsia="微軟正黑體">
          <w:rFonts w:ascii="微軟正黑體" w:hAnsi="微軟正黑體"/>
          <w:b w:val="0"/>
          <w:i w:val="0"/>
          <w:color w:val="334155"/>
          <w:sz w:val="17"/>
        </w:rPr>
        <w:t>規劃 Level 1 素養與個人應用、Level 2 部門流程梳理與 Agent POC、Level 3 跨部門流程再造與全企業普及化，導入零數據訓練（Zero Data Training）隱私防護網、語意快取及 Champions 網絡體系。</w:t>
      </w:r>
    </w:p>
    <w:p>
      <w:pPr>
        <w:spacing w:before="60" w:after="60"/>
        <w:ind w:left="216"/>
      </w:pPr>
      <w:r>
        <w:rPr w:eastAsia="微軟正黑體">
          <w:rFonts w:ascii="微軟正黑體" w:hAnsi="微軟正黑體"/>
          <w:b/>
          <w:i w:val="0"/>
          <w:color w:val="B45309"/>
          <w:sz w:val="18"/>
        </w:rPr>
        <w:t>💡 AISDLC 雙軌開發生命週期治理與驗收標準：</w:t>
        <w:br/>
      </w:r>
      <w:r>
        <w:rPr w:eastAsia="微軟正黑體">
          <w:rFonts w:ascii="微軟正黑體" w:hAnsi="微軟正黑體"/>
          <w:b w:val="0"/>
          <w:i w:val="0"/>
          <w:color w:val="334155"/>
          <w:sz w:val="17"/>
        </w:rPr>
        <w:t>建立 Track 1 AI 產出驗證機制 (SAST/DAST/Prompt Injection 防護) 與 Track 2 傳統系統整合防線，確保企業 AI 部署安全無死角。</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