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</w:pPr>
      <w:r>
        <w:rPr>
          <w:rFonts w:ascii="Calibri" w:hAnsi="Calibri" w:eastAsia="PingFang SC" w:cs="Calibri"/>
          <w:b/>
          <w:color w:val="000000"/>
          <w:sz w:val="46"/>
        </w:rPr>
        <w:t>Module SDC 全片 STA 使用约束</w:t>
      </w:r>
    </w:p>
    <w:p>
      <w:pPr>
        <w:spacing w:after="200"/>
      </w:pPr>
      <w:r>
        <w:rPr>
          <w:rFonts w:ascii="Calibri" w:hAnsi="Calibri" w:eastAsia="PingFang SC" w:cs="Calibri"/>
          <w:color w:val="5A5A5A"/>
          <w:sz w:val="23"/>
        </w:rPr>
        <w:t>基于当前 SoC SDC 架构的 module SDC 过滤 / 交付要求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E5E7EB"/>
          <w:left w:val="single" w:sz="6" w:space="0" w:color="E5E7EB"/>
          <w:bottom w:val="single" w:sz="6" w:space="0" w:color="E5E7EB"/>
          <w:right w:val="single" w:sz="6" w:space="0" w:color="E5E7EB"/>
          <w:insideH w:val="single" w:sz="6" w:space="0" w:color="E5E7EB"/>
          <w:insideV w:val="single" w:sz="6" w:space="0" w:color="E5E7EB"/>
        </w:tblBorders>
      </w:tblPr>
      <w:tblGrid>
        <w:gridCol w:w="1600"/>
        <w:gridCol w:w="7760"/>
      </w:tblGrid>
      <w:tr>
        <w:trPr>
          <w:cantSplit/>
        </w:trPr>
        <w:tc>
          <w:tcPr>
            <w:tcW w:type="dxa" w:w="1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2F4F7"/>
          </w:tcPr>
          <w:p>
            <w:pPr>
              <w:spacing w:before="0" w:after="0" w:line="247" w:lineRule="auto"/>
            </w:pPr>
            <w:r/>
            <w:r>
              <w:rPr>
                <w:rFonts w:ascii="Calibri" w:hAnsi="Calibri" w:eastAsia="PingFang SC" w:cs="Calibri"/>
                <w:b/>
                <w:color w:val="1F4D78"/>
                <w:sz w:val="18"/>
              </w:rPr>
              <w:t>适用对象</w:t>
            </w:r>
          </w:p>
        </w:tc>
        <w:tc>
          <w:tcPr>
            <w:tcW w:type="dxa" w:w="7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before="0" w:after="0" w:line="247" w:lineRule="auto"/>
            </w:pPr>
            <w:r/>
            <w:r>
              <w:rPr>
                <w:rFonts w:ascii="Calibri" w:hAnsi="Calibri" w:eastAsia="PingFang SC" w:cs="Calibri"/>
                <w:b w:val="0"/>
                <w:color w:val="232323"/>
                <w:sz w:val="18"/>
              </w:rPr>
              <w:t>全片 STA 中需要 source 的 module / harden SDC</w:t>
            </w:r>
          </w:p>
        </w:tc>
      </w:tr>
      <w:tr>
        <w:trPr>
          <w:cantSplit/>
        </w:trPr>
        <w:tc>
          <w:tcPr>
            <w:tcW w:type="dxa" w:w="1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2F4F7"/>
          </w:tcPr>
          <w:p>
            <w:pPr>
              <w:spacing w:before="0" w:after="0" w:line="247" w:lineRule="auto"/>
            </w:pPr>
            <w:r/>
            <w:r>
              <w:rPr>
                <w:rFonts w:ascii="Calibri" w:hAnsi="Calibri" w:eastAsia="PingFang SC" w:cs="Calibri"/>
                <w:b/>
                <w:color w:val="1F4D78"/>
                <w:sz w:val="18"/>
              </w:rPr>
              <w:t>不替代内容</w:t>
            </w:r>
          </w:p>
        </w:tc>
        <w:tc>
          <w:tcPr>
            <w:tcW w:type="dxa" w:w="7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before="0" w:after="0" w:line="247" w:lineRule="auto"/>
            </w:pPr>
            <w:r/>
            <w:r>
              <w:rPr>
                <w:rFonts w:ascii="Calibri" w:hAnsi="Calibri" w:eastAsia="PingFang SC" w:cs="Calibri"/>
                <w:b w:val="0"/>
                <w:color w:val="232323"/>
                <w:sz w:val="18"/>
              </w:rPr>
              <w:t>不替代现有 SoC SDC；DC 综合视图仍使用当前 SoC SDC 架构</w:t>
            </w:r>
          </w:p>
        </w:tc>
      </w:tr>
      <w:tr>
        <w:trPr>
          <w:cantSplit/>
        </w:trPr>
        <w:tc>
          <w:tcPr>
            <w:tcW w:type="dxa" w:w="1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2F4F7"/>
          </w:tcPr>
          <w:p>
            <w:pPr>
              <w:spacing w:before="0" w:after="0" w:line="247" w:lineRule="auto"/>
            </w:pPr>
            <w:r/>
            <w:r>
              <w:rPr>
                <w:rFonts w:ascii="Calibri" w:hAnsi="Calibri" w:eastAsia="PingFang SC" w:cs="Calibri"/>
                <w:b/>
                <w:color w:val="1F4D78"/>
                <w:sz w:val="18"/>
              </w:rPr>
              <w:t>核心结论</w:t>
            </w:r>
          </w:p>
        </w:tc>
        <w:tc>
          <w:tcPr>
            <w:tcW w:type="dxa" w:w="7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before="0" w:after="0" w:line="247" w:lineRule="auto"/>
            </w:pPr>
            <w:r/>
            <w:r>
              <w:rPr>
                <w:rFonts w:ascii="Calibri" w:hAnsi="Calibri" w:eastAsia="PingFang SC" w:cs="Calibri"/>
                <w:b w:val="0"/>
                <w:color w:val="232323"/>
                <w:sz w:val="18"/>
              </w:rPr>
              <w:t>全片 STA = 部分 SoC SDC 组件 + filtered module SDC</w:t>
            </w:r>
          </w:p>
        </w:tc>
      </w:tr>
      <w:tr>
        <w:trPr>
          <w:cantSplit/>
        </w:trPr>
        <w:tc>
          <w:tcPr>
            <w:tcW w:type="dxa" w:w="1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2F4F7"/>
          </w:tcPr>
          <w:p>
            <w:pPr>
              <w:spacing w:before="0" w:after="0" w:line="247" w:lineRule="auto"/>
            </w:pPr>
            <w:r/>
            <w:r>
              <w:rPr>
                <w:rFonts w:ascii="Calibri" w:hAnsi="Calibri" w:eastAsia="PingFang SC" w:cs="Calibri"/>
                <w:b/>
                <w:color w:val="1F4D78"/>
                <w:sz w:val="18"/>
              </w:rPr>
              <w:t>关键原则</w:t>
            </w:r>
          </w:p>
        </w:tc>
        <w:tc>
          <w:tcPr>
            <w:tcW w:type="dxa" w:w="7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before="0" w:after="0" w:line="247" w:lineRule="auto"/>
            </w:pPr>
            <w:r/>
            <w:r>
              <w:rPr>
                <w:rFonts w:ascii="Calibri" w:hAnsi="Calibri" w:eastAsia="PingFang SC" w:cs="Calibri"/>
                <w:b w:val="0"/>
                <w:color w:val="232323"/>
                <w:sz w:val="18"/>
              </w:rPr>
              <w:t>module SDC 不重新定义 SoC 级 clock、budget、IO 环境、scenario、clock group 或跨模块 exception</w:t>
            </w:r>
          </w:p>
        </w:tc>
      </w:tr>
    </w:tbl>
    <w:p>
      <w:pPr>
        <w:spacing w:after="160" w:line="259" w:lineRule="auto"/>
      </w:pPr>
      <w:r>
        <w:rPr>
          <w:rFonts w:ascii="Calibri" w:hAnsi="Calibri" w:eastAsia="PingFang SC" w:cs="Calibri"/>
          <w:color w:val="232323"/>
          <w:sz w:val="20"/>
        </w:rPr>
        <w:t>本文定义的是给 fullchip STA source 的 module SDC 要求。它不是 block 自己 signoff 用的原始 SDC，而是删除冲突项后的 SoC-safe / filtered 版本。</w:t>
      </w:r>
    </w:p>
    <w:p>
      <w:pPr>
        <w:pStyle w:val="Heading1"/>
        <w:keepNext/>
      </w:pPr>
      <w:r>
        <w:rPr>
          <w:rFonts w:ascii="Calibri" w:hAnsi="Calibri" w:eastAsia="PingFang SC" w:cs="Calibri"/>
          <w:b/>
          <w:color w:val="2E74B5"/>
          <w:sz w:val="31"/>
        </w:rPr>
        <w:t>1. 使用视图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2F4F7"/>
          </w:tcPr>
          <w:p>
            <w:pPr>
              <w:spacing w:before="0" w:after="0" w:line="247" w:lineRule="auto"/>
            </w:pPr>
            <w:r/>
            <w:r>
              <w:rPr>
                <w:rFonts w:ascii="Calibri" w:hAnsi="Calibri" w:eastAsia="PingFang SC" w:cs="Calibri"/>
                <w:b/>
                <w:color w:val="1F4D78"/>
                <w:sz w:val="19"/>
              </w:rPr>
              <w:t>视图</w:t>
            </w:r>
          </w:p>
        </w:tc>
        <w:tc>
          <w:tcPr>
            <w:tcW w:type="dxa" w:w="71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2F4F7"/>
          </w:tcPr>
          <w:p>
            <w:pPr>
              <w:spacing w:before="0" w:after="0" w:line="247" w:lineRule="auto"/>
            </w:pPr>
            <w:r/>
            <w:r>
              <w:rPr>
                <w:rFonts w:ascii="Calibri" w:hAnsi="Calibri" w:eastAsia="PingFang SC" w:cs="Calibri"/>
                <w:b/>
                <w:color w:val="1F4D78"/>
                <w:sz w:val="19"/>
              </w:rPr>
              <w:t>约定</w:t>
            </w:r>
          </w:p>
        </w:tc>
      </w:tr>
      <w:tr>
        <w:trPr>
          <w:cantSplit/>
        </w:trPr>
        <w:tc>
          <w:tcPr>
            <w:tcW w:type="dxa" w:w="22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before="0" w:after="0" w:line="247" w:lineRule="auto"/>
            </w:pPr>
            <w:r/>
            <w:r>
              <w:rPr>
                <w:rFonts w:ascii="Calibri" w:hAnsi="Calibri" w:eastAsia="PingFang SC" w:cs="Calibri"/>
                <w:b/>
                <w:color w:val="232323"/>
                <w:sz w:val="18"/>
              </w:rPr>
              <w:t>DC 综合视图</w:t>
            </w:r>
          </w:p>
        </w:tc>
        <w:tc>
          <w:tcPr>
            <w:tcW w:type="dxa" w:w="71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before="0" w:after="0" w:line="247" w:lineRule="auto"/>
            </w:pPr>
            <w:r/>
            <w:r>
              <w:rPr>
                <w:rFonts w:ascii="Calibri" w:hAnsi="Calibri" w:eastAsia="PingFang SC" w:cs="Calibri"/>
                <w:b w:val="0"/>
                <w:color w:val="232323"/>
                <w:sz w:val="18"/>
              </w:rPr>
              <w:t>现有 SoC SDC 方案保持不变，继续按 01/02/03/04/10/20/30 和 scenario 文件装配。module 原始 SDC 不直接混入 DC 视图。</w:t>
            </w:r>
          </w:p>
        </w:tc>
      </w:tr>
      <w:tr>
        <w:trPr>
          <w:cantSplit/>
        </w:trPr>
        <w:tc>
          <w:tcPr>
            <w:tcW w:type="dxa" w:w="22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before="0" w:after="0" w:line="247" w:lineRule="auto"/>
            </w:pPr>
            <w:r/>
            <w:r>
              <w:rPr>
                <w:rFonts w:ascii="Calibri" w:hAnsi="Calibri" w:eastAsia="PingFang SC" w:cs="Calibri"/>
                <w:b/>
                <w:color w:val="232323"/>
                <w:sz w:val="18"/>
              </w:rPr>
              <w:t>全片 STA 视图</w:t>
            </w:r>
          </w:p>
        </w:tc>
        <w:tc>
          <w:tcPr>
            <w:tcW w:type="dxa" w:w="71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before="0" w:after="0" w:line="247" w:lineRule="auto"/>
            </w:pPr>
            <w:r/>
            <w:r>
              <w:rPr>
                <w:rFonts w:ascii="Calibri" w:hAnsi="Calibri" w:eastAsia="PingFang SC" w:cs="Calibri"/>
                <w:b w:val="0"/>
                <w:color w:val="232323"/>
                <w:sz w:val="18"/>
              </w:rPr>
              <w:t>复用 SoC 级组件，再 source 过滤后的 module SDC。module SDC 只补充内部约束，不覆盖 SoC 级约束。</w:t>
            </w:r>
          </w:p>
        </w:tc>
      </w:tr>
      <w:tr>
        <w:trPr>
          <w:cantSplit/>
        </w:trPr>
        <w:tc>
          <w:tcPr>
            <w:tcW w:type="dxa" w:w="22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before="0" w:after="0" w:line="247" w:lineRule="auto"/>
            </w:pPr>
            <w:r/>
            <w:r>
              <w:rPr>
                <w:rFonts w:ascii="Calibri" w:hAnsi="Calibri" w:eastAsia="PingFang SC" w:cs="Calibri"/>
                <w:b/>
                <w:color w:val="232323"/>
                <w:sz w:val="18"/>
              </w:rPr>
              <w:t>Module SDC 定位</w:t>
            </w:r>
          </w:p>
        </w:tc>
        <w:tc>
          <w:tcPr>
            <w:tcW w:type="dxa" w:w="71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before="0" w:after="0" w:line="247" w:lineRule="auto"/>
            </w:pPr>
            <w:r/>
            <w:r>
              <w:rPr>
                <w:rFonts w:ascii="Calibri" w:hAnsi="Calibri" w:eastAsia="PingFang SC" w:cs="Calibri"/>
                <w:b w:val="0"/>
                <w:color w:val="232323"/>
                <w:sz w:val="18"/>
              </w:rPr>
              <w:t>交付给 fullchip STA 的应是 filtered / integration SDC，不是 block signoff SDC 原样拷贝。所有被删除项应保留 filter report。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E3E8F0"/>
          <w:left w:val="single" w:sz="6" w:space="0" w:color="E3E8F0"/>
          <w:bottom w:val="single" w:sz="6" w:space="0" w:color="E3E8F0"/>
          <w:right w:val="single" w:sz="6" w:space="0" w:color="E3E8F0"/>
          <w:insideH w:val="single" w:sz="6" w:space="0" w:color="E3E8F0"/>
          <w:insideV w:val="single" w:sz="6" w:space="0" w:color="E3E8F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50" w:type="dxa"/>
              <w:bottom w:w="90" w:type="dxa"/>
              <w:end w:w="150" w:type="dxa"/>
            </w:tcMar>
            <w:vAlign w:val="center"/>
            <w:shd w:fill="F7F9FC"/>
          </w:tcPr>
          <w:p>
            <w:pPr>
              <w:spacing w:after="40"/>
            </w:pPr>
            <w:r>
              <w:rPr>
                <w:rFonts w:ascii="Calibri" w:hAnsi="Calibri" w:eastAsia="PingFang SC" w:cs="Calibri"/>
                <w:b/>
                <w:color w:val="1F4D78"/>
                <w:sz w:val="19"/>
              </w:rPr>
              <w:t>一句话规则</w:t>
            </w:r>
          </w:p>
          <w:p>
            <w:pPr>
              <w:spacing w:after="0" w:line="247" w:lineRule="auto"/>
            </w:pPr>
            <w:r>
              <w:rPr>
                <w:rFonts w:ascii="Calibri" w:hAnsi="Calibri" w:eastAsia="PingFang SC" w:cs="Calibri"/>
                <w:color w:val="232323"/>
                <w:sz w:val="18"/>
              </w:rPr>
              <w:t>module SDC 可以描述 module 内部事实；凡会定义 SoC 全局环境、跨 module 关系或 scenario mode 的约束，都必须上收到 SoC / fullchip 顶层统一管理。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Calibri" w:hAnsi="Calibri" w:eastAsia="PingFang SC" w:cs="Calibri"/>
          <w:b/>
          <w:color w:val="2E74B5"/>
          <w:sz w:val="31"/>
        </w:rPr>
        <w:t>2. 禁止保留项</w:t>
      </w:r>
    </w:p>
    <w:p>
      <w:pPr>
        <w:spacing w:after="100" w:line="259" w:lineRule="auto"/>
      </w:pPr>
      <w:r>
        <w:rPr>
          <w:rFonts w:ascii="Calibri" w:hAnsi="Calibri" w:eastAsia="PingFang SC" w:cs="Calibri"/>
          <w:color w:val="232323"/>
          <w:sz w:val="20"/>
        </w:rPr>
        <w:t>以下内容不应出现在 fullchip STA 直接 source 的 module filtered SDC 中。若原始 block SDC 中存在，应删除、迁移到 SoC 对应文件，或转成交付信息供 top 统一生成。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</w:tblPr>
      <w:tblGrid>
        <w:gridCol w:w="1900"/>
        <w:gridCol w:w="4200"/>
        <w:gridCol w:w="3260"/>
      </w:tblGrid>
      <w:tr>
        <w:trPr>
          <w:tblHeader w:val="true"/>
          <w:cantSplit/>
        </w:trPr>
        <w:tc>
          <w:tcPr>
            <w:tcW w:type="dxa" w:w="19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2F4F7"/>
          </w:tcPr>
          <w:p>
            <w:pPr>
              <w:spacing w:before="0" w:after="0" w:line="247" w:lineRule="auto"/>
            </w:pPr>
            <w:r/>
            <w:r>
              <w:rPr>
                <w:rFonts w:ascii="Calibri" w:hAnsi="Calibri" w:eastAsia="PingFang SC" w:cs="Calibri"/>
                <w:b/>
                <w:color w:val="1F4D78"/>
                <w:sz w:val="19"/>
              </w:rPr>
              <w:t>类别</w:t>
            </w:r>
          </w:p>
        </w:tc>
        <w:tc>
          <w:tcPr>
            <w:tcW w:type="dxa" w:w="42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2F4F7"/>
          </w:tcPr>
          <w:p>
            <w:pPr>
              <w:spacing w:before="0" w:after="0" w:line="247" w:lineRule="auto"/>
            </w:pPr>
            <w:r/>
            <w:r>
              <w:rPr>
                <w:rFonts w:ascii="Calibri" w:hAnsi="Calibri" w:eastAsia="PingFang SC" w:cs="Calibri"/>
                <w:b/>
                <w:color w:val="1F4D78"/>
                <w:sz w:val="19"/>
              </w:rPr>
              <w:t>禁止内容</w:t>
            </w:r>
          </w:p>
        </w:tc>
        <w:tc>
          <w:tcPr>
            <w:tcW w:type="dxa" w:w="32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2F4F7"/>
          </w:tcPr>
          <w:p>
            <w:pPr>
              <w:spacing w:before="0" w:after="0" w:line="247" w:lineRule="auto"/>
            </w:pPr>
            <w:r/>
            <w:r>
              <w:rPr>
                <w:rFonts w:ascii="Calibri" w:hAnsi="Calibri" w:eastAsia="PingFang SC" w:cs="Calibri"/>
                <w:b/>
                <w:color w:val="1F4D78"/>
                <w:sz w:val="19"/>
              </w:rPr>
              <w:t>原因 / 归属</w:t>
            </w:r>
          </w:p>
        </w:tc>
      </w:tr>
      <w:tr>
        <w:trPr>
          <w:cantSplit/>
        </w:trPr>
        <w:tc>
          <w:tcPr>
            <w:tcW w:type="dxa" w:w="19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before="0" w:after="0" w:line="247" w:lineRule="auto"/>
            </w:pPr>
            <w:r/>
            <w:r>
              <w:rPr>
                <w:rFonts w:ascii="Calibri" w:hAnsi="Calibri" w:eastAsia="PingFang SC" w:cs="Calibri"/>
                <w:b/>
                <w:color w:val="232323"/>
                <w:sz w:val="18"/>
              </w:rPr>
              <w:t>Clock 定义</w:t>
            </w:r>
          </w:p>
        </w:tc>
        <w:tc>
          <w:tcPr>
            <w:tcW w:type="dxa" w:w="42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before="0" w:after="0" w:line="247" w:lineRule="auto"/>
            </w:pPr>
            <w:r/>
            <w:r>
              <w:rPr>
                <w:rFonts w:ascii="Calibri" w:hAnsi="Calibri" w:eastAsia="PingFang SC" w:cs="Calibri"/>
                <w:b w:val="0"/>
                <w:color w:val="232323"/>
                <w:sz w:val="17"/>
              </w:rPr>
              <w:t>module input clock 上的 create_clock；与 SoC 01 重复的 create_generated_clock / forwarded clock；virtual clock。</w:t>
            </w:r>
          </w:p>
        </w:tc>
        <w:tc>
          <w:tcPr>
            <w:tcW w:type="dxa" w:w="32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before="0" w:after="0" w:line="247" w:lineRule="auto"/>
            </w:pPr>
            <w:r/>
            <w:r>
              <w:rPr>
                <w:rFonts w:ascii="Calibri" w:hAnsi="Calibri" w:eastAsia="PingFang SC" w:cs="Calibri"/>
                <w:b w:val="0"/>
                <w:color w:val="232323"/>
                <w:sz w:val="17"/>
              </w:rPr>
              <w:t>SoC 01 统一创建所有 SoC clock object，包括 virtual clock。</w:t>
            </w:r>
          </w:p>
        </w:tc>
      </w:tr>
      <w:tr>
        <w:trPr>
          <w:cantSplit/>
        </w:trPr>
        <w:tc>
          <w:tcPr>
            <w:tcW w:type="dxa" w:w="19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before="0" w:after="0" w:line="247" w:lineRule="auto"/>
            </w:pPr>
            <w:r/>
            <w:r>
              <w:rPr>
                <w:rFonts w:ascii="Calibri" w:hAnsi="Calibri" w:eastAsia="PingFang SC" w:cs="Calibri"/>
                <w:b/>
                <w:color w:val="232323"/>
                <w:sz w:val="18"/>
              </w:rPr>
              <w:t>Clock timing budget</w:t>
            </w:r>
          </w:p>
        </w:tc>
        <w:tc>
          <w:tcPr>
            <w:tcW w:type="dxa" w:w="42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before="0" w:after="0" w:line="247" w:lineRule="auto"/>
            </w:pPr>
            <w:r/>
            <w:r>
              <w:rPr>
                <w:rFonts w:ascii="Calibri" w:hAnsi="Calibri" w:eastAsia="PingFang SC" w:cs="Calibri"/>
                <w:b w:val="0"/>
                <w:color w:val="232323"/>
                <w:sz w:val="17"/>
              </w:rPr>
              <w:t>set_clock_uncertainty、set_clock_latency、set_clock_transition、set_propagated_clock、set_timing_derate / OCV / AOCV / POCV。</w:t>
            </w:r>
          </w:p>
        </w:tc>
        <w:tc>
          <w:tcPr>
            <w:tcW w:type="dxa" w:w="32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before="0" w:after="0" w:line="247" w:lineRule="auto"/>
            </w:pPr>
            <w:r/>
            <w:r>
              <w:rPr>
                <w:rFonts w:ascii="Calibri" w:hAnsi="Calibri" w:eastAsia="PingFang SC" w:cs="Calibri"/>
                <w:b w:val="0"/>
                <w:color w:val="232323"/>
                <w:sz w:val="17"/>
              </w:rPr>
              <w:t>SoC 02 或 MMMC/corner flow 统一管理，避免 stage/corner budget 冲突。</w:t>
            </w:r>
          </w:p>
        </w:tc>
      </w:tr>
      <w:tr>
        <w:trPr>
          <w:cantSplit/>
        </w:trPr>
        <w:tc>
          <w:tcPr>
            <w:tcW w:type="dxa" w:w="19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before="0" w:after="0" w:line="247" w:lineRule="auto"/>
            </w:pPr>
            <w:r/>
            <w:r>
              <w:rPr>
                <w:rFonts w:ascii="Calibri" w:hAnsi="Calibri" w:eastAsia="PingFang SC" w:cs="Calibri"/>
                <w:b/>
                <w:color w:val="232323"/>
                <w:sz w:val="18"/>
              </w:rPr>
              <w:t>Module 边界 IO delay</w:t>
            </w:r>
          </w:p>
        </w:tc>
        <w:tc>
          <w:tcPr>
            <w:tcW w:type="dxa" w:w="42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before="0" w:after="0" w:line="247" w:lineRule="auto"/>
            </w:pPr>
            <w:r/>
            <w:r>
              <w:rPr>
                <w:rFonts w:ascii="Calibri" w:hAnsi="Calibri" w:eastAsia="PingFang SC" w:cs="Calibri"/>
                <w:b w:val="0"/>
                <w:color w:val="232323"/>
                <w:sz w:val="17"/>
              </w:rPr>
              <w:t>作用在 module port 上的 set_input_delay / set_output_delay。</w:t>
            </w:r>
          </w:p>
        </w:tc>
        <w:tc>
          <w:tcPr>
            <w:tcW w:type="dxa" w:w="32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before="0" w:after="0" w:line="247" w:lineRule="auto"/>
            </w:pPr>
            <w:r/>
            <w:r>
              <w:rPr>
                <w:rFonts w:ascii="Calibri" w:hAnsi="Calibri" w:eastAsia="PingFang SC" w:cs="Calibri"/>
                <w:b w:val="0"/>
                <w:color w:val="232323"/>
                <w:sz w:val="17"/>
              </w:rPr>
              <w:t>block 边界环境假设在 fullchip 中应由真实上游/下游路径替代；SoC 04 只约束 top IO。</w:t>
            </w:r>
          </w:p>
        </w:tc>
      </w:tr>
      <w:tr>
        <w:trPr>
          <w:cantSplit/>
        </w:trPr>
        <w:tc>
          <w:tcPr>
            <w:tcW w:type="dxa" w:w="19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before="0" w:after="0" w:line="247" w:lineRule="auto"/>
            </w:pPr>
            <w:r/>
            <w:r>
              <w:rPr>
                <w:rFonts w:ascii="Calibri" w:hAnsi="Calibri" w:eastAsia="PingFang SC" w:cs="Calibri"/>
                <w:b/>
                <w:color w:val="232323"/>
                <w:sz w:val="18"/>
              </w:rPr>
              <w:t>Module 边界电气模型</w:t>
            </w:r>
          </w:p>
        </w:tc>
        <w:tc>
          <w:tcPr>
            <w:tcW w:type="dxa" w:w="42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before="0" w:after="0" w:line="247" w:lineRule="auto"/>
            </w:pPr>
            <w:r/>
            <w:r>
              <w:rPr>
                <w:rFonts w:ascii="Calibri" w:hAnsi="Calibri" w:eastAsia="PingFang SC" w:cs="Calibri"/>
                <w:b w:val="0"/>
                <w:color w:val="232323"/>
                <w:sz w:val="17"/>
              </w:rPr>
              <w:t>作用在 module port 上的 set_driving_cell、set_drive、set_load、set_input_transition。</w:t>
            </w:r>
          </w:p>
        </w:tc>
        <w:tc>
          <w:tcPr>
            <w:tcW w:type="dxa" w:w="32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before="0" w:after="0" w:line="247" w:lineRule="auto"/>
            </w:pPr>
            <w:r/>
            <w:r>
              <w:rPr>
                <w:rFonts w:ascii="Calibri" w:hAnsi="Calibri" w:eastAsia="PingFang SC" w:cs="Calibri"/>
                <w:b w:val="0"/>
                <w:color w:val="232323"/>
                <w:sz w:val="17"/>
              </w:rPr>
              <w:t>这些是 block signoff 外部环境，不应套在 SoC 内部连接上。</w:t>
            </w:r>
          </w:p>
        </w:tc>
      </w:tr>
      <w:tr>
        <w:trPr>
          <w:cantSplit/>
        </w:trPr>
        <w:tc>
          <w:tcPr>
            <w:tcW w:type="dxa" w:w="19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before="0" w:after="0" w:line="247" w:lineRule="auto"/>
            </w:pPr>
            <w:r/>
            <w:r>
              <w:rPr>
                <w:rFonts w:ascii="Calibri" w:hAnsi="Calibri" w:eastAsia="PingFang SC" w:cs="Calibri"/>
                <w:b/>
                <w:color w:val="232323"/>
                <w:sz w:val="18"/>
              </w:rPr>
              <w:t>Scenario / mode 选择</w:t>
            </w:r>
          </w:p>
        </w:tc>
        <w:tc>
          <w:tcPr>
            <w:tcW w:type="dxa" w:w="42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before="0" w:after="0" w:line="247" w:lineRule="auto"/>
            </w:pPr>
            <w:r/>
            <w:r>
              <w:rPr>
                <w:rFonts w:ascii="Calibri" w:hAnsi="Calibri" w:eastAsia="PingFang SC" w:cs="Calibri"/>
                <w:b w:val="0"/>
                <w:color w:val="232323"/>
                <w:sz w:val="17"/>
              </w:rPr>
              <w:t>scan_en、test_mode、mbist_en、PLL bypass、clock mux select、GPIO direction 等 set_case_analysis。</w:t>
            </w:r>
          </w:p>
        </w:tc>
        <w:tc>
          <w:tcPr>
            <w:tcW w:type="dxa" w:w="32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before="0" w:after="0" w:line="247" w:lineRule="auto"/>
            </w:pPr>
            <w:r/>
            <w:r>
              <w:rPr>
                <w:rFonts w:ascii="Calibri" w:hAnsi="Calibri" w:eastAsia="PingFang SC" w:cs="Calibri"/>
                <w:b w:val="0"/>
                <w:color w:val="232323"/>
                <w:sz w:val="17"/>
              </w:rPr>
              <w:t>SoC scenario pre-setup 统一注入，保证每个 view 的 mode 一致。</w:t>
            </w:r>
          </w:p>
        </w:tc>
      </w:tr>
      <w:tr>
        <w:trPr>
          <w:cantSplit/>
        </w:trPr>
        <w:tc>
          <w:tcPr>
            <w:tcW w:type="dxa" w:w="19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before="0" w:after="0" w:line="247" w:lineRule="auto"/>
            </w:pPr>
            <w:r/>
            <w:r>
              <w:rPr>
                <w:rFonts w:ascii="Calibri" w:hAnsi="Calibri" w:eastAsia="PingFang SC" w:cs="Calibri"/>
                <w:b/>
                <w:color w:val="232323"/>
                <w:sz w:val="18"/>
              </w:rPr>
              <w:t>Clock group</w:t>
            </w:r>
          </w:p>
        </w:tc>
        <w:tc>
          <w:tcPr>
            <w:tcW w:type="dxa" w:w="42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before="0" w:after="0" w:line="247" w:lineRule="auto"/>
            </w:pPr>
            <w:r/>
            <w:r>
              <w:rPr>
                <w:rFonts w:ascii="Calibri" w:hAnsi="Calibri" w:eastAsia="PingFang SC" w:cs="Calibri"/>
                <w:b w:val="0"/>
                <w:color w:val="232323"/>
                <w:sz w:val="17"/>
              </w:rPr>
              <w:t>set_clock_groups -asynchronous / -logically_exclusive / -physically_exclusive。</w:t>
            </w:r>
          </w:p>
        </w:tc>
        <w:tc>
          <w:tcPr>
            <w:tcW w:type="dxa" w:w="32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before="0" w:after="0" w:line="247" w:lineRule="auto"/>
            </w:pPr>
            <w:r/>
            <w:r>
              <w:rPr>
                <w:rFonts w:ascii="Calibri" w:hAnsi="Calibri" w:eastAsia="PingFang SC" w:cs="Calibri"/>
                <w:b w:val="0"/>
                <w:color w:val="232323"/>
                <w:sz w:val="17"/>
              </w:rPr>
              <w:t>clock group 是全局关系，最终由 top/fullchip 03 统一声明和做 coverage。</w:t>
            </w:r>
          </w:p>
        </w:tc>
      </w:tr>
      <w:tr>
        <w:trPr>
          <w:cantSplit/>
        </w:trPr>
        <w:tc>
          <w:tcPr>
            <w:tcW w:type="dxa" w:w="19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before="0" w:after="0" w:line="247" w:lineRule="auto"/>
            </w:pPr>
            <w:r/>
            <w:r>
              <w:rPr>
                <w:rFonts w:ascii="Calibri" w:hAnsi="Calibri" w:eastAsia="PingFang SC" w:cs="Calibri"/>
                <w:b/>
                <w:color w:val="232323"/>
                <w:sz w:val="18"/>
              </w:rPr>
              <w:t>跨 module exception</w:t>
            </w:r>
          </w:p>
        </w:tc>
        <w:tc>
          <w:tcPr>
            <w:tcW w:type="dxa" w:w="42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before="0" w:after="0" w:line="247" w:lineRule="auto"/>
            </w:pPr>
            <w:r/>
            <w:r>
              <w:rPr>
                <w:rFonts w:ascii="Calibri" w:hAnsi="Calibri" w:eastAsia="PingFang SC" w:cs="Calibri"/>
                <w:b w:val="0"/>
                <w:color w:val="232323"/>
                <w:sz w:val="17"/>
              </w:rPr>
              <w:t>跨 module 边界的 false_path、multicycle、max_delay、min_delay。</w:t>
            </w:r>
          </w:p>
        </w:tc>
        <w:tc>
          <w:tcPr>
            <w:tcW w:type="dxa" w:w="32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before="0" w:after="0" w:line="247" w:lineRule="auto"/>
            </w:pPr>
            <w:r/>
            <w:r>
              <w:rPr>
                <w:rFonts w:ascii="Calibri" w:hAnsi="Calibri" w:eastAsia="PingFang SC" w:cs="Calibri"/>
                <w:b w:val="0"/>
                <w:color w:val="232323"/>
                <w:sz w:val="17"/>
              </w:rPr>
              <w:t>统一进入 SoC 20 或 fullchip STA 顶层 exception review。</w:t>
            </w:r>
          </w:p>
        </w:tc>
      </w:tr>
      <w:tr>
        <w:trPr>
          <w:cantSplit/>
        </w:trPr>
        <w:tc>
          <w:tcPr>
            <w:tcW w:type="dxa" w:w="19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before="0" w:after="0" w:line="247" w:lineRule="auto"/>
            </w:pPr>
            <w:r/>
            <w:r>
              <w:rPr>
                <w:rFonts w:ascii="Calibri" w:hAnsi="Calibri" w:eastAsia="PingFang SC" w:cs="Calibri"/>
                <w:b/>
                <w:color w:val="232323"/>
                <w:sz w:val="18"/>
              </w:rPr>
              <w:t>清 timing 用局部 exception</w:t>
            </w:r>
          </w:p>
        </w:tc>
        <w:tc>
          <w:tcPr>
            <w:tcW w:type="dxa" w:w="42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before="0" w:after="0" w:line="247" w:lineRule="auto"/>
            </w:pPr>
            <w:r/>
            <w:r>
              <w:rPr>
                <w:rFonts w:ascii="Calibri" w:hAnsi="Calibri" w:eastAsia="PingFang SC" w:cs="Calibri"/>
                <w:b w:val="0"/>
                <w:color w:val="232323"/>
                <w:sz w:val="17"/>
              </w:rPr>
              <w:t>无架构依据、只为 block signoff 清 violation 的 exception。</w:t>
            </w:r>
          </w:p>
        </w:tc>
        <w:tc>
          <w:tcPr>
            <w:tcW w:type="dxa" w:w="32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before="0" w:after="0" w:line="247" w:lineRule="auto"/>
            </w:pPr>
            <w:r/>
            <w:r>
              <w:rPr>
                <w:rFonts w:ascii="Calibri" w:hAnsi="Calibri" w:eastAsia="PingFang SC" w:cs="Calibri"/>
                <w:b w:val="0"/>
                <w:color w:val="232323"/>
                <w:sz w:val="17"/>
              </w:rPr>
              <w:t>不得进入 fullchip STA；需要 owner 说明设计依据和适用 mode。</w:t>
            </w:r>
          </w:p>
        </w:tc>
      </w:tr>
      <w:tr>
        <w:trPr>
          <w:cantSplit/>
        </w:trPr>
        <w:tc>
          <w:tcPr>
            <w:tcW w:type="dxa" w:w="19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before="0" w:after="0" w:line="247" w:lineRule="auto"/>
            </w:pPr>
            <w:r/>
            <w:r>
              <w:rPr>
                <w:rFonts w:ascii="Calibri" w:hAnsi="Calibri" w:eastAsia="PingFang SC" w:cs="Calibri"/>
                <w:b/>
                <w:color w:val="232323"/>
                <w:sz w:val="18"/>
              </w:rPr>
              <w:t>全局范围命令</w:t>
            </w:r>
          </w:p>
        </w:tc>
        <w:tc>
          <w:tcPr>
            <w:tcW w:type="dxa" w:w="42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before="0" w:after="0" w:line="247" w:lineRule="auto"/>
            </w:pPr>
            <w:r/>
            <w:r>
              <w:rPr>
                <w:rFonts w:ascii="Calibri" w:hAnsi="Calibri" w:eastAsia="PingFang SC" w:cs="Calibri"/>
                <w:b w:val="0"/>
                <w:color w:val="232323"/>
                <w:sz w:val="17"/>
              </w:rPr>
              <w:t>对象范围可能逃出 module 的 get_clocks *、get_ports *、current_design 级全局 design rule。</w:t>
            </w:r>
          </w:p>
        </w:tc>
        <w:tc>
          <w:tcPr>
            <w:tcW w:type="dxa" w:w="32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before="0" w:after="0" w:line="247" w:lineRule="auto"/>
            </w:pPr>
            <w:r/>
            <w:r>
              <w:rPr>
                <w:rFonts w:ascii="Calibri" w:hAnsi="Calibri" w:eastAsia="PingFang SC" w:cs="Calibri"/>
                <w:b w:val="0"/>
                <w:color w:val="232323"/>
                <w:sz w:val="17"/>
              </w:rPr>
              <w:t>必须收紧作用域，或上收到 SoC 顶层策略。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PingFang SC" w:cs="Calibri"/>
          <w:b/>
          <w:color w:val="2E74B5"/>
          <w:sz w:val="31"/>
        </w:rPr>
        <w:t>3. 可以保留或交付的信息</w:t>
      </w:r>
    </w:p>
    <w:p>
      <w:pPr>
        <w:spacing w:after="100" w:line="259" w:lineRule="auto"/>
      </w:pPr>
      <w:r>
        <w:rPr>
          <w:rFonts w:ascii="Calibri" w:hAnsi="Calibri" w:eastAsia="PingFang SC" w:cs="Calibri"/>
          <w:color w:val="232323"/>
          <w:sz w:val="20"/>
        </w:rPr>
        <w:t>module filtered SDC 不是空文件。它可以保留真正属于 module 内部、且不会覆盖 SoC 级策略的约束；也可以交付信息给 top 统一生成。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</w:tblPr>
      <w:tblGrid>
        <w:gridCol w:w="3000"/>
        <w:gridCol w:w="6360"/>
      </w:tblGrid>
      <w:tr>
        <w:trPr>
          <w:tblHeader w:val="true"/>
          <w:cantSplit/>
        </w:trPr>
        <w:tc>
          <w:tcPr>
            <w:tcW w:type="dxa" w:w="30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2F4F7"/>
          </w:tcPr>
          <w:p>
            <w:pPr>
              <w:spacing w:before="0" w:after="0" w:line="247" w:lineRule="auto"/>
            </w:pPr>
            <w:r/>
            <w:r>
              <w:rPr>
                <w:rFonts w:ascii="Calibri" w:hAnsi="Calibri" w:eastAsia="PingFang SC" w:cs="Calibri"/>
                <w:b/>
                <w:color w:val="1F4D78"/>
                <w:sz w:val="19"/>
              </w:rPr>
              <w:t>内容</w:t>
            </w:r>
          </w:p>
        </w:tc>
        <w:tc>
          <w:tcPr>
            <w:tcW w:type="dxa" w:w="63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2F4F7"/>
          </w:tcPr>
          <w:p>
            <w:pPr>
              <w:spacing w:before="0" w:after="0" w:line="247" w:lineRule="auto"/>
            </w:pPr>
            <w:r/>
            <w:r>
              <w:rPr>
                <w:rFonts w:ascii="Calibri" w:hAnsi="Calibri" w:eastAsia="PingFang SC" w:cs="Calibri"/>
                <w:b/>
                <w:color w:val="1F4D78"/>
                <w:sz w:val="19"/>
              </w:rPr>
              <w:t>保留条件 / 交付方式</w:t>
            </w:r>
          </w:p>
        </w:tc>
      </w:tr>
      <w:tr>
        <w:trPr>
          <w:cantSplit/>
        </w:trPr>
        <w:tc>
          <w:tcPr>
            <w:tcW w:type="dxa" w:w="30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before="0" w:after="0" w:line="247" w:lineRule="auto"/>
            </w:pPr>
            <w:r/>
            <w:r>
              <w:rPr>
                <w:rFonts w:ascii="Calibri" w:hAnsi="Calibri" w:eastAsia="PingFang SC" w:cs="Calibri"/>
                <w:b/>
                <w:color w:val="232323"/>
                <w:sz w:val="18"/>
              </w:rPr>
              <w:t>module 内部 generated / forwarded clock</w:t>
            </w:r>
          </w:p>
        </w:tc>
        <w:tc>
          <w:tcPr>
            <w:tcW w:type="dxa" w:w="63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before="0" w:after="0" w:line="247" w:lineRule="auto"/>
            </w:pPr>
            <w:r/>
            <w:r>
              <w:rPr>
                <w:rFonts w:ascii="Calibri" w:hAnsi="Calibri" w:eastAsia="PingFang SC" w:cs="Calibri"/>
                <w:b w:val="0"/>
                <w:color w:val="232323"/>
                <w:sz w:val="18"/>
              </w:rPr>
              <w:t>可保留条件：不与 SoC 01 重复，target/source 都是 module 内部对象。若 output clock 会作为 SoC 或其他 module clock source，必须显式交付给 SoC 01。</w:t>
            </w:r>
          </w:p>
        </w:tc>
      </w:tr>
      <w:tr>
        <w:trPr>
          <w:cantSplit/>
        </w:trPr>
        <w:tc>
          <w:tcPr>
            <w:tcW w:type="dxa" w:w="30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before="0" w:after="0" w:line="247" w:lineRule="auto"/>
            </w:pPr>
            <w:r/>
            <w:r>
              <w:rPr>
                <w:rFonts w:ascii="Calibri" w:hAnsi="Calibri" w:eastAsia="PingFang SC" w:cs="Calibri"/>
                <w:b/>
                <w:color w:val="232323"/>
                <w:sz w:val="18"/>
              </w:rPr>
              <w:t>module 内部 exception</w:t>
            </w:r>
          </w:p>
        </w:tc>
        <w:tc>
          <w:tcPr>
            <w:tcW w:type="dxa" w:w="63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before="0" w:after="0" w:line="247" w:lineRule="auto"/>
            </w:pPr>
            <w:r/>
            <w:r>
              <w:rPr>
                <w:rFonts w:ascii="Calibri" w:hAnsi="Calibri" w:eastAsia="PingFang SC" w:cs="Calibri"/>
                <w:b w:val="0"/>
                <w:color w:val="232323"/>
                <w:sz w:val="18"/>
              </w:rPr>
              <w:t>可保留条件：路径完全在 module 内部，mode-independent，有架构依据和 owner 说明。跨 module 或 scenario-specific exception 不保留。</w:t>
            </w:r>
          </w:p>
        </w:tc>
      </w:tr>
      <w:tr>
        <w:trPr>
          <w:cantSplit/>
        </w:trPr>
        <w:tc>
          <w:tcPr>
            <w:tcW w:type="dxa" w:w="30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before="0" w:after="0" w:line="247" w:lineRule="auto"/>
            </w:pPr>
            <w:r/>
            <w:r>
              <w:rPr>
                <w:rFonts w:ascii="Calibri" w:hAnsi="Calibri" w:eastAsia="PingFang SC" w:cs="Calibri"/>
                <w:b/>
                <w:color w:val="232323"/>
                <w:sz w:val="18"/>
              </w:rPr>
              <w:t>set_disable_timing / timing sense</w:t>
            </w:r>
          </w:p>
        </w:tc>
        <w:tc>
          <w:tcPr>
            <w:tcW w:type="dxa" w:w="63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before="0" w:after="0" w:line="247" w:lineRule="auto"/>
            </w:pPr>
            <w:r/>
            <w:r>
              <w:rPr>
                <w:rFonts w:ascii="Calibri" w:hAnsi="Calibri" w:eastAsia="PingFang SC" w:cs="Calibri"/>
                <w:b w:val="0"/>
                <w:color w:val="232323"/>
                <w:sz w:val="18"/>
              </w:rPr>
              <w:t>可保留条件：作用域严格限制在 module 内部，且是结构/库模型需要，不用于隐藏外部 timing 问题。</w:t>
            </w:r>
          </w:p>
        </w:tc>
      </w:tr>
      <w:tr>
        <w:trPr>
          <w:cantSplit/>
        </w:trPr>
        <w:tc>
          <w:tcPr>
            <w:tcW w:type="dxa" w:w="30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before="0" w:after="0" w:line="247" w:lineRule="auto"/>
            </w:pPr>
            <w:r/>
            <w:r>
              <w:rPr>
                <w:rFonts w:ascii="Calibri" w:hAnsi="Calibri" w:eastAsia="PingFang SC" w:cs="Calibri"/>
                <w:b/>
                <w:color w:val="232323"/>
                <w:sz w:val="18"/>
              </w:rPr>
              <w:t>内部 design rule</w:t>
            </w:r>
          </w:p>
        </w:tc>
        <w:tc>
          <w:tcPr>
            <w:tcW w:type="dxa" w:w="63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before="0" w:after="0" w:line="247" w:lineRule="auto"/>
            </w:pPr>
            <w:r/>
            <w:r>
              <w:rPr>
                <w:rFonts w:ascii="Calibri" w:hAnsi="Calibri" w:eastAsia="PingFang SC" w:cs="Calibri"/>
                <w:b w:val="0"/>
                <w:color w:val="232323"/>
                <w:sz w:val="18"/>
              </w:rPr>
              <w:t>可保留条件：只作用于 module 内部对象，不覆盖 SoC 级 max transition/cap/fanout 策略。</w:t>
            </w:r>
          </w:p>
        </w:tc>
      </w:tr>
      <w:tr>
        <w:trPr>
          <w:cantSplit/>
        </w:trPr>
        <w:tc>
          <w:tcPr>
            <w:tcW w:type="dxa" w:w="30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before="0" w:after="0" w:line="247" w:lineRule="auto"/>
            </w:pPr>
            <w:r/>
            <w:r>
              <w:rPr>
                <w:rFonts w:ascii="Calibri" w:hAnsi="Calibri" w:eastAsia="PingFang SC" w:cs="Calibri"/>
                <w:b/>
                <w:color w:val="232323"/>
                <w:sz w:val="18"/>
              </w:rPr>
              <w:t>固定常量 case</w:t>
            </w:r>
          </w:p>
        </w:tc>
        <w:tc>
          <w:tcPr>
            <w:tcW w:type="dxa" w:w="63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before="0" w:after="0" w:line="247" w:lineRule="auto"/>
            </w:pPr>
            <w:r/>
            <w:r>
              <w:rPr>
                <w:rFonts w:ascii="Calibri" w:hAnsi="Calibri" w:eastAsia="PingFang SC" w:cs="Calibri"/>
                <w:b w:val="0"/>
                <w:color w:val="232323"/>
                <w:sz w:val="18"/>
              </w:rPr>
              <w:t>可保留条件：物理硬连常量、所有 scenario 都成立。mode select / test select / mux select 仍归 SoC scenario pre-setup。</w:t>
            </w:r>
          </w:p>
        </w:tc>
      </w:tr>
      <w:tr>
        <w:trPr>
          <w:cantSplit/>
        </w:trPr>
        <w:tc>
          <w:tcPr>
            <w:tcW w:type="dxa" w:w="30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before="0" w:after="0" w:line="247" w:lineRule="auto"/>
            </w:pPr>
            <w:r/>
            <w:r>
              <w:rPr>
                <w:rFonts w:ascii="Calibri" w:hAnsi="Calibri" w:eastAsia="PingFang SC" w:cs="Calibri"/>
                <w:b/>
                <w:color w:val="232323"/>
                <w:sz w:val="18"/>
              </w:rPr>
              <w:t>clock relationship 信息</w:t>
            </w:r>
          </w:p>
        </w:tc>
        <w:tc>
          <w:tcPr>
            <w:tcW w:type="dxa" w:w="63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before="0" w:after="0" w:line="247" w:lineRule="auto"/>
            </w:pPr>
            <w:r/>
            <w:r>
              <w:rPr>
                <w:rFonts w:ascii="Calibri" w:hAnsi="Calibri" w:eastAsia="PingFang SC" w:cs="Calibri"/>
                <w:b w:val="0"/>
                <w:color w:val="232323"/>
                <w:sz w:val="18"/>
              </w:rPr>
              <w:t>不直接保留 set_clock_groups。module owner 交付 clock pair/domain、relation type、适用 mode、设计依据，top 03 审核后生成。</w:t>
            </w:r>
          </w:p>
        </w:tc>
      </w:tr>
      <w:tr>
        <w:trPr>
          <w:cantSplit/>
        </w:trPr>
        <w:tc>
          <w:tcPr>
            <w:tcW w:type="dxa" w:w="30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before="0" w:after="0" w:line="247" w:lineRule="auto"/>
            </w:pPr>
            <w:r/>
            <w:r>
              <w:rPr>
                <w:rFonts w:ascii="Calibri" w:hAnsi="Calibri" w:eastAsia="PingFang SC" w:cs="Calibri"/>
                <w:b/>
                <w:color w:val="232323"/>
                <w:sz w:val="18"/>
              </w:rPr>
              <w:t>filter report</w:t>
            </w:r>
          </w:p>
        </w:tc>
        <w:tc>
          <w:tcPr>
            <w:tcW w:type="dxa" w:w="63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before="0" w:after="0" w:line="247" w:lineRule="auto"/>
            </w:pPr>
            <w:r/>
            <w:r>
              <w:rPr>
                <w:rFonts w:ascii="Calibri" w:hAnsi="Calibri" w:eastAsia="PingFang SC" w:cs="Calibri"/>
                <w:b w:val="0"/>
                <w:color w:val="232323"/>
                <w:sz w:val="18"/>
              </w:rPr>
              <w:t>必须交付：从原始 block SDC 删除了哪些命令、为什么删除、迁移到哪个 SoC 文件或哪个 review 表单。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PingFang SC" w:cs="Calibri"/>
          <w:b/>
          <w:color w:val="2E74B5"/>
          <w:sz w:val="31"/>
        </w:rPr>
        <w:t>4. Clock group 归属</w:t>
      </w:r>
    </w:p>
    <w:p>
      <w:pPr>
        <w:spacing w:after="100" w:line="259" w:lineRule="auto"/>
      </w:pPr>
      <w:r>
        <w:rPr>
          <w:rFonts w:ascii="Calibri" w:hAnsi="Calibri" w:eastAsia="PingFang SC" w:cs="Calibri"/>
          <w:color w:val="232323"/>
          <w:sz w:val="20"/>
        </w:rPr>
        <w:t>module 内部生成的 clock 只要会影响全片 STA 分析，其 group 关系就不能由 module SDC 私自声明。module 只交付关系事实，top/fullchip 03 决定最终是否生成 set_clock_groups。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</w:tblPr>
      <w:tblGrid>
        <w:gridCol w:w="2500"/>
        <w:gridCol w:w="6860"/>
      </w:tblGrid>
      <w:tr>
        <w:trPr>
          <w:tblHeader w:val="true"/>
          <w:cantSplit/>
        </w:trPr>
        <w:tc>
          <w:tcPr>
            <w:tcW w:type="dxa" w:w="25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2F4F7"/>
          </w:tcPr>
          <w:p>
            <w:pPr>
              <w:spacing w:before="0" w:after="0" w:line="247" w:lineRule="auto"/>
            </w:pPr>
            <w:r/>
            <w:r>
              <w:rPr>
                <w:rFonts w:ascii="Calibri" w:hAnsi="Calibri" w:eastAsia="PingFang SC" w:cs="Calibri"/>
                <w:b/>
                <w:color w:val="1F4D78"/>
                <w:sz w:val="19"/>
              </w:rPr>
              <w:t>位置</w:t>
            </w:r>
          </w:p>
        </w:tc>
        <w:tc>
          <w:tcPr>
            <w:tcW w:type="dxa" w:w="68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2F4F7"/>
          </w:tcPr>
          <w:p>
            <w:pPr>
              <w:spacing w:before="0" w:after="0" w:line="247" w:lineRule="auto"/>
            </w:pPr>
            <w:r/>
            <w:r>
              <w:rPr>
                <w:rFonts w:ascii="Calibri" w:hAnsi="Calibri" w:eastAsia="PingFang SC" w:cs="Calibri"/>
                <w:b/>
                <w:color w:val="1F4D78"/>
                <w:sz w:val="19"/>
              </w:rPr>
              <w:t>职责</w:t>
            </w:r>
          </w:p>
        </w:tc>
      </w:tr>
      <w:tr>
        <w:trPr>
          <w:cantSplit/>
        </w:trPr>
        <w:tc>
          <w:tcPr>
            <w:tcW w:type="dxa" w:w="25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before="0" w:after="0" w:line="247" w:lineRule="auto"/>
            </w:pPr>
            <w:r/>
            <w:r>
              <w:rPr>
                <w:rFonts w:ascii="Calibri" w:hAnsi="Calibri" w:eastAsia="PingFang SC" w:cs="Calibri"/>
                <w:b/>
                <w:color w:val="232323"/>
                <w:sz w:val="18"/>
              </w:rPr>
              <w:t>module SDC</w:t>
            </w:r>
          </w:p>
        </w:tc>
        <w:tc>
          <w:tcPr>
            <w:tcW w:type="dxa" w:w="68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before="0" w:after="0" w:line="247" w:lineRule="auto"/>
            </w:pPr>
            <w:r/>
            <w:r>
              <w:rPr>
                <w:rFonts w:ascii="Calibri" w:hAnsi="Calibri" w:eastAsia="PingFang SC" w:cs="Calibri"/>
                <w:b w:val="0"/>
                <w:color w:val="232323"/>
                <w:sz w:val="18"/>
              </w:rPr>
              <w:t>不保留 set_clock_groups。交付 clock domain / generated clock / mux exclusive / async 关系信息。</w:t>
            </w:r>
          </w:p>
        </w:tc>
      </w:tr>
      <w:tr>
        <w:trPr>
          <w:cantSplit/>
        </w:trPr>
        <w:tc>
          <w:tcPr>
            <w:tcW w:type="dxa" w:w="25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before="0" w:after="0" w:line="247" w:lineRule="auto"/>
            </w:pPr>
            <w:r/>
            <w:r>
              <w:rPr>
                <w:rFonts w:ascii="Calibri" w:hAnsi="Calibri" w:eastAsia="PingFang SC" w:cs="Calibri"/>
                <w:b/>
                <w:color w:val="232323"/>
                <w:sz w:val="18"/>
              </w:rPr>
              <w:t>top/fullchip 03</w:t>
            </w:r>
          </w:p>
        </w:tc>
        <w:tc>
          <w:tcPr>
            <w:tcW w:type="dxa" w:w="68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before="0" w:after="0" w:line="247" w:lineRule="auto"/>
            </w:pPr>
            <w:r/>
            <w:r>
              <w:rPr>
                <w:rFonts w:ascii="Calibri" w:hAnsi="Calibri" w:eastAsia="PingFang SC" w:cs="Calibri"/>
                <w:b w:val="0"/>
                <w:color w:val="232323"/>
                <w:sz w:val="18"/>
              </w:rPr>
              <w:t>统一声明 set_clock_groups，并结合 01 genealogy 展开 descendants、检查 coverage 和跨 scenario 冲突。</w:t>
            </w:r>
          </w:p>
        </w:tc>
      </w:tr>
      <w:tr>
        <w:trPr>
          <w:cantSplit/>
        </w:trPr>
        <w:tc>
          <w:tcPr>
            <w:tcW w:type="dxa" w:w="25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before="0" w:after="0" w:line="247" w:lineRule="auto"/>
            </w:pPr>
            <w:r/>
            <w:r>
              <w:rPr>
                <w:rFonts w:ascii="Calibri" w:hAnsi="Calibri" w:eastAsia="PingFang SC" w:cs="Calibri"/>
                <w:b/>
                <w:color w:val="232323"/>
                <w:sz w:val="18"/>
              </w:rPr>
              <w:t>仅 module 内部有效的关系</w:t>
            </w:r>
          </w:p>
        </w:tc>
        <w:tc>
          <w:tcPr>
            <w:tcW w:type="dxa" w:w="68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before="0" w:after="0" w:line="247" w:lineRule="auto"/>
            </w:pPr>
            <w:r/>
            <w:r>
              <w:rPr>
                <w:rFonts w:ascii="Calibri" w:hAnsi="Calibri" w:eastAsia="PingFang SC" w:cs="Calibri"/>
                <w:b w:val="0"/>
                <w:color w:val="232323"/>
                <w:sz w:val="18"/>
              </w:rPr>
              <w:t>第一版仍建议上收到 top 03 review。若后续允许保留在 module SDC，也必须证明这些 clock 不出 module 且不影响外部 path。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PingFang SC" w:cs="Calibri"/>
          <w:b/>
          <w:color w:val="2E74B5"/>
          <w:sz w:val="31"/>
        </w:rPr>
        <w:t>5. 全片 STA 推荐装配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</w:tblPr>
      <w:tblGrid>
        <w:gridCol w:w="1150"/>
        <w:gridCol w:w="2750"/>
        <w:gridCol w:w="5460"/>
      </w:tblGrid>
      <w:tr>
        <w:trPr>
          <w:tblHeader w:val="true"/>
          <w:cantSplit/>
        </w:trPr>
        <w:tc>
          <w:tcPr>
            <w:tcW w:type="dxa" w:w="115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2F4F7"/>
          </w:tcPr>
          <w:p>
            <w:pPr>
              <w:spacing w:before="0" w:after="0" w:line="247" w:lineRule="auto"/>
            </w:pPr>
            <w:r/>
            <w:r>
              <w:rPr>
                <w:rFonts w:ascii="Calibri" w:hAnsi="Calibri" w:eastAsia="PingFang SC" w:cs="Calibri"/>
                <w:b/>
                <w:color w:val="1F4D78"/>
                <w:sz w:val="19"/>
              </w:rPr>
              <w:t>阶段</w:t>
            </w:r>
          </w:p>
        </w:tc>
        <w:tc>
          <w:tcPr>
            <w:tcW w:type="dxa" w:w="275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2F4F7"/>
          </w:tcPr>
          <w:p>
            <w:pPr>
              <w:spacing w:before="0" w:after="0" w:line="247" w:lineRule="auto"/>
            </w:pPr>
            <w:r/>
            <w:r>
              <w:rPr>
                <w:rFonts w:ascii="Calibri" w:hAnsi="Calibri" w:eastAsia="PingFang SC" w:cs="Calibri"/>
                <w:b/>
                <w:color w:val="1F4D78"/>
                <w:sz w:val="19"/>
              </w:rPr>
              <w:t>内容</w:t>
            </w:r>
          </w:p>
        </w:tc>
        <w:tc>
          <w:tcPr>
            <w:tcW w:type="dxa" w:w="54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2F4F7"/>
          </w:tcPr>
          <w:p>
            <w:pPr>
              <w:spacing w:before="0" w:after="0" w:line="247" w:lineRule="auto"/>
            </w:pPr>
            <w:r/>
            <w:r>
              <w:rPr>
                <w:rFonts w:ascii="Calibri" w:hAnsi="Calibri" w:eastAsia="PingFang SC" w:cs="Calibri"/>
                <w:b/>
                <w:color w:val="1F4D78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115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before="0" w:after="0" w:line="247" w:lineRule="auto"/>
            </w:pPr>
            <w:r/>
            <w:r>
              <w:rPr>
                <w:rFonts w:ascii="Calibri" w:hAnsi="Calibri" w:eastAsia="PingFang SC" w:cs="Calibri"/>
                <w:b/>
                <w:color w:val="232323"/>
                <w:sz w:val="18"/>
              </w:rPr>
              <w:t>Stage 1</w:t>
            </w:r>
          </w:p>
        </w:tc>
        <w:tc>
          <w:tcPr>
            <w:tcW w:type="dxa" w:w="275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before="0" w:after="0" w:line="247" w:lineRule="auto"/>
            </w:pPr>
            <w:r/>
            <w:r>
              <w:rPr>
                <w:rFonts w:ascii="Calibri" w:hAnsi="Calibri" w:eastAsia="PingFang SC" w:cs="Calibri"/>
                <w:b w:val="0"/>
                <w:color w:val="232323"/>
                <w:sz w:val="17"/>
              </w:rPr>
              <w:t>scenario pre-setup</w:t>
            </w:r>
          </w:p>
        </w:tc>
        <w:tc>
          <w:tcPr>
            <w:tcW w:type="dxa" w:w="54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before="0" w:after="0" w:line="247" w:lineRule="auto"/>
            </w:pPr>
            <w:r/>
            <w:r>
              <w:rPr>
                <w:rFonts w:ascii="Calibri" w:hAnsi="Calibri" w:eastAsia="PingFang SC" w:cs="Calibri"/>
                <w:b w:val="0"/>
                <w:color w:val="232323"/>
                <w:sz w:val="17"/>
              </w:rPr>
              <w:t>SoC 统一 set_case_analysis、mode select、scan/mbist/gpio direction。</w:t>
            </w:r>
          </w:p>
        </w:tc>
      </w:tr>
      <w:tr>
        <w:trPr>
          <w:cantSplit/>
        </w:trPr>
        <w:tc>
          <w:tcPr>
            <w:tcW w:type="dxa" w:w="115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before="0" w:after="0" w:line="247" w:lineRule="auto"/>
            </w:pPr>
            <w:r/>
            <w:r>
              <w:rPr>
                <w:rFonts w:ascii="Calibri" w:hAnsi="Calibri" w:eastAsia="PingFang SC" w:cs="Calibri"/>
                <w:b/>
                <w:color w:val="232323"/>
                <w:sz w:val="18"/>
              </w:rPr>
              <w:t>Stage 2</w:t>
            </w:r>
          </w:p>
        </w:tc>
        <w:tc>
          <w:tcPr>
            <w:tcW w:type="dxa" w:w="275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before="0" w:after="0" w:line="247" w:lineRule="auto"/>
            </w:pPr>
            <w:r/>
            <w:r>
              <w:rPr>
                <w:rFonts w:ascii="Calibri" w:hAnsi="Calibri" w:eastAsia="PingFang SC" w:cs="Calibri"/>
                <w:b w:val="0"/>
                <w:color w:val="232323"/>
                <w:sz w:val="17"/>
              </w:rPr>
              <w:t>clock creation</w:t>
            </w:r>
          </w:p>
        </w:tc>
        <w:tc>
          <w:tcPr>
            <w:tcW w:type="dxa" w:w="54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before="0" w:after="0" w:line="247" w:lineRule="auto"/>
            </w:pPr>
            <w:r/>
            <w:r>
              <w:rPr>
                <w:rFonts w:ascii="Calibri" w:hAnsi="Calibri" w:eastAsia="PingFang SC" w:cs="Calibri"/>
                <w:b w:val="0"/>
                <w:color w:val="232323"/>
                <w:sz w:val="17"/>
              </w:rPr>
              <w:t>source common/01_soc_clocks.sdc；如保留 module 内部 generated clock，必须确保不与 01 重复。</w:t>
            </w:r>
          </w:p>
        </w:tc>
      </w:tr>
      <w:tr>
        <w:trPr>
          <w:cantSplit/>
        </w:trPr>
        <w:tc>
          <w:tcPr>
            <w:tcW w:type="dxa" w:w="115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before="0" w:after="0" w:line="247" w:lineRule="auto"/>
            </w:pPr>
            <w:r/>
            <w:r>
              <w:rPr>
                <w:rFonts w:ascii="Calibri" w:hAnsi="Calibri" w:eastAsia="PingFang SC" w:cs="Calibri"/>
                <w:b/>
                <w:color w:val="232323"/>
                <w:sz w:val="18"/>
              </w:rPr>
              <w:t>Stage 3</w:t>
            </w:r>
          </w:p>
        </w:tc>
        <w:tc>
          <w:tcPr>
            <w:tcW w:type="dxa" w:w="275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before="0" w:after="0" w:line="247" w:lineRule="auto"/>
            </w:pPr>
            <w:r/>
            <w:r>
              <w:rPr>
                <w:rFonts w:ascii="Calibri" w:hAnsi="Calibri" w:eastAsia="PingFang SC" w:cs="Calibri"/>
                <w:b w:val="0"/>
                <w:color w:val="232323"/>
                <w:sz w:val="17"/>
              </w:rPr>
              <w:t>clock timing budget</w:t>
            </w:r>
          </w:p>
        </w:tc>
        <w:tc>
          <w:tcPr>
            <w:tcW w:type="dxa" w:w="54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before="0" w:after="0" w:line="247" w:lineRule="auto"/>
            </w:pPr>
            <w:r/>
            <w:r>
              <w:rPr>
                <w:rFonts w:ascii="Calibri" w:hAnsi="Calibri" w:eastAsia="PingFang SC" w:cs="Calibri"/>
                <w:b w:val="0"/>
                <w:color w:val="232323"/>
                <w:sz w:val="17"/>
              </w:rPr>
              <w:t>只 source 一个 resolved 02 文件，由 scenario/stage/corner 决定。</w:t>
            </w:r>
          </w:p>
        </w:tc>
      </w:tr>
      <w:tr>
        <w:trPr>
          <w:cantSplit/>
        </w:trPr>
        <w:tc>
          <w:tcPr>
            <w:tcW w:type="dxa" w:w="115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before="0" w:after="0" w:line="247" w:lineRule="auto"/>
            </w:pPr>
            <w:r/>
            <w:r>
              <w:rPr>
                <w:rFonts w:ascii="Calibri" w:hAnsi="Calibri" w:eastAsia="PingFang SC" w:cs="Calibri"/>
                <w:b/>
                <w:color w:val="232323"/>
                <w:sz w:val="18"/>
              </w:rPr>
              <w:t>Stage 4</w:t>
            </w:r>
          </w:p>
        </w:tc>
        <w:tc>
          <w:tcPr>
            <w:tcW w:type="dxa" w:w="275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before="0" w:after="0" w:line="247" w:lineRule="auto"/>
            </w:pPr>
            <w:r/>
            <w:r>
              <w:rPr>
                <w:rFonts w:ascii="Calibri" w:hAnsi="Calibri" w:eastAsia="PingFang SC" w:cs="Calibri"/>
                <w:b w:val="0"/>
                <w:color w:val="232323"/>
                <w:sz w:val="17"/>
              </w:rPr>
              <w:t>clock relationship</w:t>
            </w:r>
          </w:p>
        </w:tc>
        <w:tc>
          <w:tcPr>
            <w:tcW w:type="dxa" w:w="54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before="0" w:after="0" w:line="247" w:lineRule="auto"/>
            </w:pPr>
            <w:r/>
            <w:r>
              <w:rPr>
                <w:rFonts w:ascii="Calibri" w:hAnsi="Calibri" w:eastAsia="PingFang SC" w:cs="Calibri"/>
                <w:b w:val="0"/>
                <w:color w:val="232323"/>
                <w:sz w:val="17"/>
              </w:rPr>
              <w:t>source top/fullchip 03；module 交付的关系信息在这里被审核和生成。</w:t>
            </w:r>
          </w:p>
        </w:tc>
      </w:tr>
      <w:tr>
        <w:trPr>
          <w:cantSplit/>
        </w:trPr>
        <w:tc>
          <w:tcPr>
            <w:tcW w:type="dxa" w:w="115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before="0" w:after="0" w:line="247" w:lineRule="auto"/>
            </w:pPr>
            <w:r/>
            <w:r>
              <w:rPr>
                <w:rFonts w:ascii="Calibri" w:hAnsi="Calibri" w:eastAsia="PingFang SC" w:cs="Calibri"/>
                <w:b/>
                <w:color w:val="232323"/>
                <w:sz w:val="18"/>
              </w:rPr>
              <w:t>Stage 5</w:t>
            </w:r>
          </w:p>
        </w:tc>
        <w:tc>
          <w:tcPr>
            <w:tcW w:type="dxa" w:w="275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before="0" w:after="0" w:line="247" w:lineRule="auto"/>
            </w:pPr>
            <w:r/>
            <w:r>
              <w:rPr>
                <w:rFonts w:ascii="Calibri" w:hAnsi="Calibri" w:eastAsia="PingFang SC" w:cs="Calibri"/>
                <w:b w:val="0"/>
                <w:color w:val="232323"/>
                <w:sz w:val="17"/>
              </w:rPr>
              <w:t>top IO/pad</w:t>
            </w:r>
          </w:p>
        </w:tc>
        <w:tc>
          <w:tcPr>
            <w:tcW w:type="dxa" w:w="54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before="0" w:after="0" w:line="247" w:lineRule="auto"/>
            </w:pPr>
            <w:r/>
            <w:r>
              <w:rPr>
                <w:rFonts w:ascii="Calibri" w:hAnsi="Calibri" w:eastAsia="PingFang SC" w:cs="Calibri"/>
                <w:b w:val="0"/>
                <w:color w:val="232323"/>
                <w:sz w:val="17"/>
              </w:rPr>
              <w:t>source common/04_soc_io_pads.sdc；module 边界 IO delay/load 不进入 fullchip。</w:t>
            </w:r>
          </w:p>
        </w:tc>
      </w:tr>
      <w:tr>
        <w:trPr>
          <w:cantSplit/>
        </w:trPr>
        <w:tc>
          <w:tcPr>
            <w:tcW w:type="dxa" w:w="115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before="0" w:after="0" w:line="247" w:lineRule="auto"/>
            </w:pPr>
            <w:r/>
            <w:r>
              <w:rPr>
                <w:rFonts w:ascii="Calibri" w:hAnsi="Calibri" w:eastAsia="PingFang SC" w:cs="Calibri"/>
                <w:b/>
                <w:color w:val="232323"/>
                <w:sz w:val="18"/>
              </w:rPr>
              <w:t>Stage 6</w:t>
            </w:r>
          </w:p>
        </w:tc>
        <w:tc>
          <w:tcPr>
            <w:tcW w:type="dxa" w:w="275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before="0" w:after="0" w:line="247" w:lineRule="auto"/>
            </w:pPr>
            <w:r/>
            <w:r>
              <w:rPr>
                <w:rFonts w:ascii="Calibri" w:hAnsi="Calibri" w:eastAsia="PingFang SC" w:cs="Calibri"/>
                <w:b w:val="0"/>
                <w:color w:val="232323"/>
                <w:sz w:val="17"/>
              </w:rPr>
              <w:t>module internal constraints</w:t>
            </w:r>
          </w:p>
        </w:tc>
        <w:tc>
          <w:tcPr>
            <w:tcW w:type="dxa" w:w="54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before="0" w:after="0" w:line="247" w:lineRule="auto"/>
            </w:pPr>
            <w:r/>
            <w:r>
              <w:rPr>
                <w:rFonts w:ascii="Calibri" w:hAnsi="Calibri" w:eastAsia="PingFang SC" w:cs="Calibri"/>
                <w:b w:val="0"/>
                <w:color w:val="232323"/>
                <w:sz w:val="17"/>
              </w:rPr>
              <w:t>source filtered module SDC 中的内部 generated clock、disable timing、内部 design rule 等。</w:t>
            </w:r>
          </w:p>
        </w:tc>
      </w:tr>
      <w:tr>
        <w:trPr>
          <w:cantSplit/>
        </w:trPr>
        <w:tc>
          <w:tcPr>
            <w:tcW w:type="dxa" w:w="115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before="0" w:after="0" w:line="247" w:lineRule="auto"/>
            </w:pPr>
            <w:r/>
            <w:r>
              <w:rPr>
                <w:rFonts w:ascii="Calibri" w:hAnsi="Calibri" w:eastAsia="PingFang SC" w:cs="Calibri"/>
                <w:b/>
                <w:color w:val="232323"/>
                <w:sz w:val="18"/>
              </w:rPr>
              <w:t>Stage 7</w:t>
            </w:r>
          </w:p>
        </w:tc>
        <w:tc>
          <w:tcPr>
            <w:tcW w:type="dxa" w:w="275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before="0" w:after="0" w:line="247" w:lineRule="auto"/>
            </w:pPr>
            <w:r/>
            <w:r>
              <w:rPr>
                <w:rFonts w:ascii="Calibri" w:hAnsi="Calibri" w:eastAsia="PingFang SC" w:cs="Calibri"/>
                <w:b w:val="0"/>
                <w:color w:val="232323"/>
                <w:sz w:val="17"/>
              </w:rPr>
              <w:t>exception</w:t>
            </w:r>
          </w:p>
        </w:tc>
        <w:tc>
          <w:tcPr>
            <w:tcW w:type="dxa" w:w="54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before="0" w:after="0" w:line="247" w:lineRule="auto"/>
            </w:pPr>
            <w:r/>
            <w:r>
              <w:rPr>
                <w:rFonts w:ascii="Calibri" w:hAnsi="Calibri" w:eastAsia="PingFang SC" w:cs="Calibri"/>
                <w:b w:val="0"/>
                <w:color w:val="232323"/>
                <w:sz w:val="17"/>
              </w:rPr>
              <w:t>source SoC 20 / scenario exception；module 内部 exception 可在此阶段 source，跨 module exception 必须 top review。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PingFang SC" w:cs="Calibri"/>
          <w:b/>
          <w:color w:val="2E74B5"/>
          <w:sz w:val="31"/>
        </w:rPr>
        <w:t>6. 交付检查清单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2F4F7"/>
          </w:tcPr>
          <w:p>
            <w:pPr>
              <w:spacing w:before="0" w:after="0" w:line="247" w:lineRule="auto"/>
            </w:pPr>
            <w:r/>
            <w:r>
              <w:rPr>
                <w:rFonts w:ascii="Calibri" w:hAnsi="Calibri" w:eastAsia="PingFang SC" w:cs="Calibri"/>
                <w:b/>
                <w:color w:val="1F4D78"/>
                <w:sz w:val="19"/>
              </w:rPr>
              <w:t>检查项</w:t>
            </w:r>
          </w:p>
        </w:tc>
        <w:tc>
          <w:tcPr>
            <w:tcW w:type="dxa" w:w="71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2F4F7"/>
          </w:tcPr>
          <w:p>
            <w:pPr>
              <w:spacing w:before="0" w:after="0" w:line="247" w:lineRule="auto"/>
            </w:pPr>
            <w:r/>
            <w:r>
              <w:rPr>
                <w:rFonts w:ascii="Calibri" w:hAnsi="Calibri" w:eastAsia="PingFang SC" w:cs="Calibri"/>
                <w:b/>
                <w:color w:val="1F4D78"/>
                <w:sz w:val="19"/>
              </w:rPr>
              <w:t>要求</w:t>
            </w:r>
          </w:p>
        </w:tc>
      </w:tr>
      <w:tr>
        <w:trPr>
          <w:cantSplit/>
        </w:trPr>
        <w:tc>
          <w:tcPr>
            <w:tcW w:type="dxa" w:w="22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before="0" w:after="0" w:line="247" w:lineRule="auto"/>
            </w:pPr>
            <w:r/>
            <w:r>
              <w:rPr>
                <w:rFonts w:ascii="Calibri" w:hAnsi="Calibri" w:eastAsia="PingFang SC" w:cs="Calibri"/>
                <w:b/>
                <w:color w:val="232323"/>
                <w:sz w:val="18"/>
              </w:rPr>
              <w:t>必须有</w:t>
            </w:r>
          </w:p>
        </w:tc>
        <w:tc>
          <w:tcPr>
            <w:tcW w:type="dxa" w:w="71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before="0" w:after="0" w:line="247" w:lineRule="auto"/>
            </w:pPr>
            <w:r/>
            <w:r>
              <w:rPr>
                <w:rFonts w:ascii="Calibri" w:hAnsi="Calibri" w:eastAsia="PingFang SC" w:cs="Calibri"/>
                <w:b w:val="0"/>
                <w:color w:val="232323"/>
                <w:sz w:val="18"/>
              </w:rPr>
              <w:t>filtered module SDC、filter report、保留 exception 清单、保留 clock 清单、clock relationship 信息。</w:t>
            </w:r>
          </w:p>
        </w:tc>
      </w:tr>
      <w:tr>
        <w:trPr>
          <w:cantSplit/>
        </w:trPr>
        <w:tc>
          <w:tcPr>
            <w:tcW w:type="dxa" w:w="22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before="0" w:after="0" w:line="247" w:lineRule="auto"/>
            </w:pPr>
            <w:r/>
            <w:r>
              <w:rPr>
                <w:rFonts w:ascii="Calibri" w:hAnsi="Calibri" w:eastAsia="PingFang SC" w:cs="Calibri"/>
                <w:b/>
                <w:color w:val="232323"/>
                <w:sz w:val="18"/>
              </w:rPr>
              <w:t>必须检查</w:t>
            </w:r>
          </w:p>
        </w:tc>
        <w:tc>
          <w:tcPr>
            <w:tcW w:type="dxa" w:w="71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before="0" w:after="0" w:line="247" w:lineRule="auto"/>
            </w:pPr>
            <w:r/>
            <w:r>
              <w:rPr>
                <w:rFonts w:ascii="Calibri" w:hAnsi="Calibri" w:eastAsia="PingFang SC" w:cs="Calibri"/>
                <w:b w:val="0"/>
                <w:color w:val="232323"/>
                <w:sz w:val="18"/>
              </w:rPr>
              <w:t>是否含 create_clock、clock budget、module port IO delay/electrical model、set_clock_groups、mode case_analysis、跨 module exception。</w:t>
            </w:r>
          </w:p>
        </w:tc>
      </w:tr>
      <w:tr>
        <w:trPr>
          <w:cantSplit/>
        </w:trPr>
        <w:tc>
          <w:tcPr>
            <w:tcW w:type="dxa" w:w="22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before="0" w:after="0" w:line="247" w:lineRule="auto"/>
            </w:pPr>
            <w:r/>
            <w:r>
              <w:rPr>
                <w:rFonts w:ascii="Calibri" w:hAnsi="Calibri" w:eastAsia="PingFang SC" w:cs="Calibri"/>
                <w:b/>
                <w:color w:val="232323"/>
                <w:sz w:val="18"/>
              </w:rPr>
              <w:t>必须说明</w:t>
            </w:r>
          </w:p>
        </w:tc>
        <w:tc>
          <w:tcPr>
            <w:tcW w:type="dxa" w:w="71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before="0" w:after="0" w:line="247" w:lineRule="auto"/>
            </w:pPr>
            <w:r/>
            <w:r>
              <w:rPr>
                <w:rFonts w:ascii="Calibri" w:hAnsi="Calibri" w:eastAsia="PingFang SC" w:cs="Calibri"/>
                <w:b w:val="0"/>
                <w:color w:val="232323"/>
                <w:sz w:val="18"/>
              </w:rPr>
              <w:t>每条保留 exception 的 owner、设计依据、适用 mode、对象范围；每个交付 clock relationship 的 relation type 和依据。</w:t>
            </w:r>
          </w:p>
        </w:tc>
      </w:tr>
      <w:tr>
        <w:trPr>
          <w:cantSplit/>
        </w:trPr>
        <w:tc>
          <w:tcPr>
            <w:tcW w:type="dxa" w:w="22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before="0" w:after="0" w:line="247" w:lineRule="auto"/>
            </w:pPr>
            <w:r/>
            <w:r>
              <w:rPr>
                <w:rFonts w:ascii="Calibri" w:hAnsi="Calibri" w:eastAsia="PingFang SC" w:cs="Calibri"/>
                <w:b/>
                <w:color w:val="232323"/>
                <w:sz w:val="18"/>
              </w:rPr>
              <w:t>默认处理</w:t>
            </w:r>
          </w:p>
        </w:tc>
        <w:tc>
          <w:tcPr>
            <w:tcW w:type="dxa" w:w="71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before="0" w:after="0" w:line="247" w:lineRule="auto"/>
            </w:pPr>
            <w:r/>
            <w:r>
              <w:rPr>
                <w:rFonts w:ascii="Calibri" w:hAnsi="Calibri" w:eastAsia="PingFang SC" w:cs="Calibri"/>
                <w:b w:val="0"/>
                <w:color w:val="232323"/>
                <w:sz w:val="18"/>
              </w:rPr>
              <w:t>无法证明安全的约束先删除或转入 review，不直接进入 fullchip STA。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PingFang SC" w:cs="Calibri"/>
        <w:color w:val="5A5A5A"/>
        <w:sz w:val="18"/>
      </w:rPr>
      <w:t>当前工作版 | 2026-06-17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PingFang SC" w:cs="Calibri"/>
        <w:color w:val="5A5A5A"/>
        <w:sz w:val="18"/>
      </w:rPr>
      <w:t>Module SDC 全片 STA 使用约束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Calibri" w:hAnsi="Calibri" w:eastAsia="PingFang SC" w:cs="Calibri"/>
      <w:color w:val="2323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Calibri" w:hAnsi="Calibri" w:eastAsia="PingFang SC" w:cs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 w:eastAsia="PingFang SC" w:cs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PingFang SC" w:cs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