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 w:line="252" w:lineRule="auto"/>
        <w:jc w:val="left"/>
      </w:pPr>
      <w:r>
        <w:rPr>
          <w:rFonts w:ascii="Arial" w:hAnsi="Arial" w:eastAsia="黑体" w:cs="Arial"/>
          <w:b/>
          <w:color w:val="000000"/>
          <w:sz w:val="44"/>
          <w:noProof/>
        </w:rPr>
        <w:t>SoC SDC 结构说明</w:t>
      </w:r>
    </w:p>
    <w:p>
      <w:pPr>
        <w:spacing w:after="180" w:before="0" w:line="252" w:lineRule="auto"/>
      </w:pPr>
      <w:r>
        <w:rPr>
          <w:rFonts w:ascii="Times New Roman" w:hAnsi="Times New Roman" w:eastAsia="宋体" w:cs="Times New Roman"/>
          <w:color w:val="646464"/>
          <w:sz w:val="21"/>
          <w:noProof/>
        </w:rPr>
        <w:t>面向综合 / STA 的当前约定版本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1450"/>
        <w:gridCol w:w="7910"/>
      </w:tblGrid>
      <w:tr>
        <w:trPr>
          <w:cantSplit/>
        </w:trPr>
        <w:tc>
          <w:tcPr>
            <w:tcW w:type="dxa" w:w="14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cs="Arial" w:eastAsia="黑体"/>
                <w:color w:val="202020"/>
                <w:sz w:val="18"/>
                <w:b/>
                <w:noProof/>
              </w:rPr>
            </w:r>
            <w:r>
              <w:rPr>
                <w:rFonts w:ascii="Arial" w:hAnsi="Arial" w:eastAsia="黑体" w:cs="Arial"/>
                <w:b/>
                <w:color w:val="202020"/>
                <w:sz w:val="18"/>
                <w:noProof/>
              </w:rPr>
              <w:t>适用范围</w:t>
            </w:r>
          </w:p>
        </w:tc>
        <w:tc>
          <w:tcPr>
            <w:tcW w:type="dxa" w:w="79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SoC 顶层 SDC 文件分层、source 顺序和各子 SDC 职责</w:t>
            </w:r>
          </w:p>
        </w:tc>
      </w:tr>
      <w:tr>
        <w:trPr>
          <w:cantSplit/>
        </w:trPr>
        <w:tc>
          <w:tcPr>
            <w:tcW w:type="dxa" w:w="14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cs="Arial" w:eastAsia="黑体"/>
                <w:color w:val="202020"/>
                <w:sz w:val="18"/>
                <w:b/>
                <w:noProof/>
              </w:rPr>
            </w:r>
            <w:r>
              <w:rPr>
                <w:rFonts w:ascii="Arial" w:hAnsi="Arial" w:eastAsia="黑体" w:cs="Arial"/>
                <w:b/>
                <w:color w:val="202020"/>
                <w:sz w:val="18"/>
                <w:noProof/>
              </w:rPr>
              <w:t>当前阶段</w:t>
            </w:r>
          </w:p>
        </w:tc>
        <w:tc>
          <w:tcPr>
            <w:tcW w:type="dxa" w:w="79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先按 func 单一模式推进；scan / mbist / gpio 预留扩展入口</w:t>
            </w:r>
          </w:p>
        </w:tc>
      </w:tr>
      <w:tr>
        <w:trPr>
          <w:cantSplit/>
        </w:trPr>
        <w:tc>
          <w:tcPr>
            <w:tcW w:type="dxa" w:w="14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Arial" w:hAnsi="Arial" w:cs="Arial" w:eastAsia="黑体"/>
                <w:color w:val="202020"/>
                <w:sz w:val="18"/>
                <w:b/>
                <w:noProof/>
              </w:rPr>
            </w:r>
            <w:r>
              <w:rPr>
                <w:rFonts w:ascii="Arial" w:hAnsi="Arial" w:eastAsia="黑体" w:cs="Arial"/>
                <w:b/>
                <w:color w:val="202020"/>
                <w:sz w:val="18"/>
                <w:noProof/>
              </w:rPr>
              <w:t>主要用途</w:t>
            </w:r>
          </w:p>
        </w:tc>
        <w:tc>
          <w:tcPr>
            <w:tcW w:type="dxa" w:w="79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综合、STA；SpyGlass CDC 主要复用 clock 定义和 async group</w:t>
            </w:r>
          </w:p>
        </w:tc>
      </w:tr>
    </w:tbl>
    <w:p>
      <w:pPr>
        <w:spacing w:after="100" w:line="276" w:lineRule="auto" w:before="0"/>
      </w:pPr>
      <w:r>
        <w:rPr>
          <w:rFonts w:ascii="Times New Roman" w:hAnsi="Times New Roman" w:eastAsia="宋体" w:cs="Times New Roman"/>
          <w:color w:val="202020"/>
          <w:sz w:val="21"/>
          <w:noProof/>
        </w:rPr>
        <w:t>本文只说明每个子 SDC 负责什么、哪些内容不应混放，以及推荐装配顺序。脚本表单和检查细节以对应子目录规则文档为准。</w:t>
      </w:r>
    </w:p>
    <w:p>
      <w:pPr>
        <w:pStyle w:val="Heading1"/>
        <w:keepNext/>
        <w:spacing w:before="240" w:after="100" w:line="259" w:lineRule="auto"/>
      </w:pPr>
      <w:r>
        <w:rPr>
          <w:rFonts w:ascii="Arial" w:hAnsi="Arial" w:eastAsia="黑体" w:cs="Arial"/>
          <w:b/>
          <w:color w:val="202020"/>
          <w:sz w:val="30"/>
          <w:noProof/>
        </w:rPr>
        <w:t>1. 总体结构</w:t>
      </w:r>
    </w:p>
    <w:p>
      <w:pPr>
        <w:spacing w:after="100" w:line="276" w:lineRule="auto" w:before="0"/>
      </w:pPr>
      <w:r>
        <w:rPr>
          <w:rFonts w:ascii="Times New Roman" w:hAnsi="Times New Roman" w:eastAsia="宋体" w:cs="Times New Roman"/>
          <w:color w:val="202020"/>
          <w:sz w:val="21"/>
          <w:noProof/>
        </w:rPr>
        <w:t>common 放所有模式都成立的约束；scenarios 放特定模式、方向或 stage/corner 的约束。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0"/>
        <w:tblBorders>
          <w:top w:val="single" w:sz="4" w:space="0" w:color="D6D6D6"/>
          <w:left w:val="single" w:sz="4" w:space="0" w:color="D6D6D6"/>
          <w:bottom w:val="single" w:sz="4" w:space="0" w:color="D6D6D6"/>
          <w:right w:val="single" w:sz="4" w:space="0" w:color="D6D6D6"/>
          <w:insideH w:val="single" w:sz="4" w:space="0" w:color="D6D6D6"/>
          <w:insideV w:val="single" w:sz="4" w:space="0" w:color="D6D6D6"/>
        </w:tblBorders>
      </w:tblPr>
      <w:tblGrid>
        <w:gridCol w:w="1650"/>
        <w:gridCol w:w="7710"/>
      </w:tblGrid>
      <w:tr>
        <w:trPr>
          <w:cantSplit/>
        </w:trPr>
        <w:tc>
          <w:tcPr>
            <w:tcW w:type="dxa" w:w="1650"/>
            <w:tcMar>
              <w:top w:w="65" w:type="dxa"/>
              <w:start w:w="90" w:type="dxa"/>
              <w:bottom w:w="65" w:type="dxa"/>
              <w:end w:w="90" w:type="dxa"/>
            </w:tcMar>
            <w:vAlign w:val="center"/>
            <w:shd w:fill="FFFFFF"/>
          </w:tcPr>
          <w:p>
            <w:pPr>
              <w:spacing w:before="0" w:after="0" w:line="264" w:lineRule="auto"/>
            </w:pPr>
            <w:r>
              <w:rPr>
                <w:noProof/>
              </w:rPr>
            </w:r>
            <w:r>
              <w:rPr>
                <w:rFonts w:ascii="Consolas" w:hAnsi="Consolas" w:cs="Consolas" w:eastAsia="宋体"/>
                <w:b/>
                <w:color w:val="202020"/>
                <w:sz w:val="18"/>
                <w:noProof/>
              </w:rPr>
              <w:t>common/</w:t>
            </w:r>
          </w:p>
        </w:tc>
        <w:tc>
          <w:tcPr>
            <w:tcW w:type="dxa" w:w="771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r>
              <w:t>01_soc_clocks.sdc</w:t>
              <w:br/>
              <w:t>02_soc_clock_timing_&lt;stage&gt;_&lt;corner&gt;.sdc</w:t>
              <w:br/>
              <w:t>03_soc_clock_groups.sdc</w:t>
              <w:br/>
              <w:t>04_soc_io_pads.sdc</w:t>
              <w:br/>
              <w:t>10_harden_x_if.sdc</w:t>
              <w:br/>
              <w:t>10_harden_x_if_&lt;stage&gt;_&lt;corner&gt;.sdc  # optional view-specific interface budget</w:t>
              <w:br/>
              <w:t>20_harden_to_harden_exception.sdc</w:t>
              <w:br/>
              <w:t>30_feedthrough.sdc</w:t>
            </w:r>
          </w:p>
        </w:tc>
      </w:tr>
      <w:tr>
        <w:tc>
          <w:tcPr>
            <w:tcW w:type="dxa" w:w="165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pPr>
              <w:spacing w:before="0" w:after="0" w:line="264" w:lineRule="auto"/>
            </w:pPr>
            <w:r>
              <w:rPr>
                <w:noProof/>
              </w:rPr>
            </w:r>
            <w:r>
              <w:rPr>
                <w:rFonts w:ascii="Consolas" w:hAnsi="Consolas" w:cs="Consolas" w:eastAsia="宋体"/>
                <w:b/>
                <w:color w:val="202020"/>
                <w:sz w:val="18"/>
                <w:noProof/>
              </w:rPr>
              <w:t>scenarios/</w:t>
            </w:r>
          </w:p>
        </w:tc>
        <w:tc>
          <w:tcPr>
            <w:tcW w:type="dxa" w:w="7710"/>
            <w:vAlign w:val="center"/>
            <w:tcMar>
              <w:top w:w="65" w:type="dxa"/>
              <w:start w:w="90" w:type="dxa"/>
              <w:bottom w:w="65" w:type="dxa"/>
              <w:end w:w="90" w:type="dxa"/>
            </w:tcMar>
            <w:shd w:fill="FFFFFF"/>
          </w:tcPr>
          <w:p>
            <w:r>
              <w:t>func.sdc</w:t>
              <w:br/>
              <w:t>&lt;scenario&gt;_clock_timing_&lt;stage&gt;_&lt;corner&gt;.sdc</w:t>
              <w:br/>
              <w:t>&lt;scenario&gt;_harden_x_if.sdc  # optional scenario interface budget</w:t>
              <w:br/>
              <w:t>&lt;scenario&gt;_harden_x_if_&lt;stage&gt;_&lt;corner&gt;.sdc  # optional scenario/view interface budget</w:t>
              <w:br/>
              <w:t>dft_scan.sdc</w:t>
              <w:br/>
              <w:t>mbist.sdc</w:t>
              <w:br/>
              <w:t>gpio_in.sdc</w:t>
              <w:br/>
              <w:t>gpio_out.sdc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0"/>
        <w:tblBorders>
          <w:top w:val="nil" w:sz="4" w:space="0" w:color="C9C9C9"/>
          <w:left w:val="nil" w:sz="4" w:space="0" w:color="C9C9C9"/>
          <w:bottom w:val="nil" w:sz="4" w:space="0" w:color="C9C9C9"/>
          <w:right w:val="nil" w:sz="4" w:space="0" w:color="C9C9C9"/>
          <w:insideH w:val="nil" w:sz="4" w:space="0" w:color="C9C9C9"/>
          <w:insideV w:val="nil" w:sz="4" w:space="0" w:color="C9C9C9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shd w:fill="FFFFFF"/>
          </w:tcPr>
          <w:p>
            <w:pPr>
              <w:spacing w:before="80" w:after="140" w:line="276" w:lineRule="auto"/>
            </w:pPr>
            <w:r>
              <w:t>核心原则：clock 创建统一放 01；clock timing budget 放 02；clock relationship 放 03；IO 环境放 04；普通 harden/subsys interface budget 放 10；exception 性质的 path 语义改写放 20；feedthrough 放 30。</w:t>
            </w:r>
          </w:p>
        </w:tc>
      </w:tr>
    </w:tbl>
    <w:p>
      <w:pPr>
        <w:spacing w:after="100" w:before="0" w:line="276" w:lineRule="auto"/>
      </w:pPr>
    </w:p>
    <w:p>
      <w:pPr>
        <w:spacing w:before="0" w:after="100" w:line="276" w:lineRule="auto"/>
      </w:pPr>
      <w:r>
        <w:rPr>
          <w:rFonts w:ascii="Times New Roman" w:hAnsi="Times New Roman" w:cs="Times New Roman" w:eastAsia="宋体"/>
          <w:color w:val="202020"/>
          <w:sz w:val="21"/>
          <w:noProof/>
        </w:rPr>
        <w:br w:type="page"/>
      </w:r>
    </w:p>
    <w:p>
      <w:pPr>
        <w:pStyle w:val="Heading1"/>
        <w:keepNext/>
        <w:spacing w:before="240" w:after="100" w:line="259" w:lineRule="auto"/>
      </w:pPr>
      <w:r>
        <w:rPr>
          <w:rFonts w:ascii="Arial" w:hAnsi="Arial" w:eastAsia="黑体" w:cs="Arial"/>
          <w:b/>
          <w:color w:val="202020"/>
          <w:sz w:val="30"/>
          <w:noProof/>
        </w:rPr>
        <w:t>2. common 文件职责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文件</w:t>
            </w:r>
          </w:p>
        </w:tc>
        <w:tc>
          <w:tcPr>
            <w:tcW w:type="dxa" w:w="63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主要作用与边界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common/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01_soc_clocks.sdc</w:t>
            </w:r>
          </w:p>
        </w:tc>
        <w:tc>
          <w:tcPr>
            <w:tcW w:type="dxa" w:w="63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创建 SoC 级 clock object：top/pad/ref/test、harden output/generated/forwarded、virtual。所有 create_clock / create_generated_clock 只在 01。</w:t>
            </w: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不放 clock budget、clock group、IO delay、path exception。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common/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02_soc_clock_timing_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&lt;stage&gt;_&lt;corner&gt;.sdc</w:t>
            </w:r>
          </w:p>
        </w:tc>
        <w:tc>
          <w:tcPr>
            <w:tcW w:type="dxa" w:w="63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Clock timing budget：uncertainty、latency、transition、propagated、derate/OCV。按 stage/corner 拆文件；scenario != common 用 resolved effective 文件。</w:t>
            </w: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不创建 clock，不放 group/IO/exception。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common/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03_soc_clock_groups.sdc</w:t>
            </w:r>
          </w:p>
        </w:tc>
        <w:tc>
          <w:tcPr>
            <w:tcW w:type="dxa" w:w="63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Clock relationship：async、logically exclusive、physically exclusive。当前默认同步，显式枚举 async/exclusive。</w:t>
            </w: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用 01 genealogy 检查派生 clock 覆盖；mux 已 case_analysis 时不重复 exclusive。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common/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04_soc_io_pads.sdc</w:t>
            </w:r>
          </w:p>
        </w:tc>
        <w:tc>
          <w:tcPr>
            <w:tcW w:type="dxa" w:w="63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t>Top IO/pad environment：input/output delay、driving_cell/drive、load、input_transition、IO design rule。</w:t>
              <w:br/>
              <w:t>引用 01 已创建的 clock object（virtual/real/generated/forwarded）；GPIO/inout 方向依赖下沉场景；不创建 clock。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common/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10_harden_x_if.sdc</w:t>
            </w:r>
          </w:p>
        </w:tc>
        <w:tc>
          <w:tcPr>
            <w:tcW w:type="dxa" w:w="63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r>
              <w:t>SoC 视角的 harden/subsys interface timing budget：从 integration SDC 或 subsys 非 pad set_input/output_delay 提取候选，经连接关系、clock 映射和 review 后生成 boundary-to-boundary budget，优先使用 set_max/min_delay。</w:t>
              <w:br/>
              <w:t>若 budget 依赖 stage/corner，可拆出 common/10_harden_x_if_&lt;stage&gt;_&lt;corner&gt;.sdc；若依赖 scenario，则放 scenario overlay。</w:t>
              <w:br/>
              <w:t>不直接 source harden 内部 full SDC；不机械把 set_input/output_delay 改到 instance pin；不放 exception，也不放 SoC top pad IO 环境。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common/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20_harden_to_harden_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exception.sdc</w:t>
            </w:r>
          </w:p>
        </w:tc>
        <w:tc>
          <w:tcPr>
            <w:tcW w:type="dxa" w:w="63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t>Harden A 到 Harden B 的 common path exception：false_path、multicycle，以及 exception 性质的 set_max/min_delay override，例如 async handshake、configuration path 或非单周期协议。</w:t>
              <w:br/>
              <w:t>高风险；只放所有 mode 都成立且有架构依据的 STA 语义改写。普通 interface budget 归 10，不能用于单纯清 violation。</w:t>
            </w:r>
          </w:p>
        </w:tc>
      </w:tr>
      <w:tr>
        <w:trPr>
          <w:cantSplit/>
        </w:trPr>
        <w:tc>
          <w:tcPr>
            <w:tcW w:type="dxa" w:w="30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common/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30_feedthrough.sdc</w:t>
            </w:r>
          </w:p>
        </w:tc>
        <w:tc>
          <w:tcPr>
            <w:tcW w:type="dxa" w:w="63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结构性 feedthrough 约束：pad-to-pad、pad-to-harden、harden-to-pad、harden-to-harden 纯穿通路径。</w:t>
            </w: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  <w:br/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若依赖某个 mode 的 mux/isolation/direction，放到对应 scenario。</w:t>
            </w:r>
          </w:p>
        </w:tc>
      </w:tr>
    </w:tbl>
    <w:p>
      <w:pPr>
        <w:spacing w:after="100" w:before="0" w:line="276" w:lineRule="auto"/>
      </w:pPr>
    </w:p>
    <w:p>
      <w:pPr>
        <w:spacing w:before="0" w:after="100" w:line="276" w:lineRule="auto"/>
      </w:pPr>
      <w:r>
        <w:rPr>
          <w:rFonts w:ascii="Times New Roman" w:hAnsi="Times New Roman" w:cs="Times New Roman" w:eastAsia="宋体"/>
          <w:color w:val="202020"/>
          <w:sz w:val="21"/>
          <w:noProof/>
        </w:rPr>
        <w:br w:type="page"/>
      </w:r>
    </w:p>
    <w:p>
      <w:pPr>
        <w:pStyle w:val="Heading1"/>
        <w:keepNext/>
        <w:spacing w:before="240" w:after="100" w:line="259" w:lineRule="auto"/>
      </w:pPr>
      <w:r>
        <w:rPr>
          <w:rFonts w:ascii="Arial" w:hAnsi="Arial" w:eastAsia="黑体" w:cs="Arial"/>
          <w:b/>
          <w:color w:val="202020"/>
          <w:sz w:val="30"/>
          <w:noProof/>
        </w:rPr>
        <w:t>3. scenario 文件职责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3200"/>
        <w:gridCol w:w="6160"/>
      </w:tblGrid>
      <w:tr>
        <w:trPr>
          <w:tblHeader w:val="true"/>
          <w:cantSplit/>
        </w:trPr>
        <w:tc>
          <w:tcPr>
            <w:tcW w:type="dxa" w:w="32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文件</w:t>
            </w:r>
          </w:p>
        </w:tc>
        <w:tc>
          <w:tcPr>
            <w:tcW w:type="dxa" w:w="61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主要作用与边界</w:t>
            </w:r>
          </w:p>
        </w:tc>
      </w:tr>
      <w:tr>
        <w:trPr>
          <w:cantSplit/>
        </w:trPr>
        <w:tc>
          <w:tcPr>
            <w:tcW w:type="dxa" w:w="32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scenarios/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func.sdc</w:t>
            </w:r>
          </w:p>
        </w:tc>
        <w:tc>
          <w:tcPr>
            <w:tcW w:type="dxa" w:w="61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功能模式入口。当前可在内部按阶段 source：func pre-setup、01、resolved 02、03、04、10/30、20 和 func exception。</w:t>
            </w:r>
          </w:p>
        </w:tc>
      </w:tr>
      <w:tr>
        <w:trPr>
          <w:cantSplit/>
        </w:trPr>
        <w:tc>
          <w:tcPr>
            <w:tcW w:type="dxa" w:w="32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scenarios/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&lt;scenario&gt;_clock_timing_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&lt;stage&gt;_&lt;corner&gt;.sdc</w:t>
            </w:r>
          </w:p>
        </w:tc>
        <w:tc>
          <w:tcPr>
            <w:tcW w:type="dxa" w:w="61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该 scenario/stage/corner 的 resolved effective 02 文件。已完成 common fallback 与 scenario override 决策；不要再叠加 common 02。</w:t>
            </w:r>
          </w:p>
        </w:tc>
      </w:tr>
      <w:tr>
        <w:trPr>
          <w:cantSplit/>
        </w:trPr>
        <w:tc>
          <w:tcPr>
            <w:tcW w:type="dxa" w:w="32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scenarios/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dft_scan.sdc</w:t>
            </w:r>
          </w:p>
        </w:tc>
        <w:tc>
          <w:tcPr>
            <w:tcW w:type="dxa" w:w="61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Scan/test 专属：scan_en/test_mode case_analysis、scan clock、scan IO、scan-only clock group 或 exception。</w:t>
            </w:r>
          </w:p>
        </w:tc>
      </w:tr>
      <w:tr>
        <w:trPr>
          <w:cantSplit/>
        </w:trPr>
        <w:tc>
          <w:tcPr>
            <w:tcW w:type="dxa" w:w="32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scenarios/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mbist.sdc</w:t>
            </w:r>
          </w:p>
        </w:tc>
        <w:tc>
          <w:tcPr>
            <w:tcW w:type="dxa" w:w="61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MBIST/BIST 专属：bist_en、mbist clock、mbist IO、mbist-only clock group 或 exception。</w:t>
            </w:r>
          </w:p>
        </w:tc>
      </w:tr>
      <w:tr>
        <w:trPr>
          <w:cantSplit/>
        </w:trPr>
        <w:tc>
          <w:tcPr>
            <w:tcW w:type="dxa" w:w="32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scenarios/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gpio_in.sdc</w:t>
            </w:r>
          </w:p>
        </w:tc>
        <w:tc>
          <w:tcPr>
            <w:tcW w:type="dxa" w:w="61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GPIO input 方向专属：方向 case_analysis、input delay、input transition、外部 driving model 等。</w:t>
            </w:r>
          </w:p>
        </w:tc>
      </w:tr>
      <w:tr>
        <w:trPr>
          <w:cantSplit/>
        </w:trPr>
        <w:tc>
          <w:tcPr>
            <w:tcW w:type="dxa" w:w="32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scenarios/</w:t>
            </w:r>
            <w:r>
              <w:rPr>
                <w:rFonts w:ascii="Consolas" w:hAnsi="Consolas" w:cs="Consolas" w:eastAsia="宋体"/>
                <w:color w:val="202020"/>
                <w:sz w:val="17"/>
                <w:b/>
                <w:noProof/>
              </w:rPr>
              <w:br/>
            </w:r>
            <w:r>
              <w:rPr>
                <w:rFonts w:ascii="Consolas" w:hAnsi="Consolas" w:eastAsia="宋体" w:cs="Consolas"/>
                <w:b/>
                <w:color w:val="202020"/>
                <w:sz w:val="17"/>
                <w:noProof/>
              </w:rPr>
              <w:t>gpio_out.sdc</w:t>
            </w:r>
          </w:p>
        </w:tc>
        <w:tc>
          <w:tcPr>
            <w:tcW w:type="dxa" w:w="61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GPIO output 方向专属：方向 case_analysis、output delay、set_load、输出相关 design rule 等。</w:t>
            </w:r>
          </w:p>
        </w:tc>
      </w:tr>
    </w:tbl>
    <w:p>
      <w:pPr>
        <w:spacing w:after="100" w:before="0" w:line="276" w:lineRule="auto"/>
      </w:pPr>
    </w:p>
    <w:p>
      <w:pPr>
        <w:pStyle w:val="Heading1"/>
        <w:keepNext/>
        <w:spacing w:before="240" w:after="100" w:line="259" w:lineRule="auto"/>
      </w:pPr>
      <w:r>
        <w:rPr>
          <w:rFonts w:ascii="Arial" w:hAnsi="Arial" w:eastAsia="黑体" w:cs="Arial"/>
          <w:b/>
          <w:color w:val="202020"/>
          <w:sz w:val="30"/>
          <w:noProof/>
        </w:rPr>
        <w:t>4. 推荐装配顺序</w:t>
      </w:r>
    </w:p>
    <w:p>
      <w:pPr>
        <w:spacing w:after="100" w:line="276" w:lineRule="auto" w:before="0"/>
      </w:pPr>
      <w:r>
        <w:rPr>
          <w:rFonts w:ascii="Times New Roman" w:hAnsi="Times New Roman" w:eastAsia="宋体" w:cs="Times New Roman"/>
          <w:color w:val="202020"/>
          <w:sz w:val="21"/>
          <w:noProof/>
        </w:rPr>
        <w:t>SDC 是顺序敏感的。建议每个 scenario 入口文件按阶段组织，不靠后 source 覆盖冲突。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1100"/>
        <w:gridCol w:w="2550"/>
        <w:gridCol w:w="5710"/>
      </w:tblGrid>
      <w:tr>
        <w:trPr>
          <w:tblHeader w:val="true"/>
          <w:cantSplit/>
        </w:trPr>
        <w:tc>
          <w:tcPr>
            <w:tcW w:type="dxa" w:w="1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阶段</w:t>
            </w:r>
          </w:p>
        </w:tc>
        <w:tc>
          <w:tcPr>
            <w:tcW w:type="dxa" w:w="25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内容</w:t>
            </w:r>
          </w:p>
        </w:tc>
        <w:tc>
          <w:tcPr>
            <w:tcW w:type="dxa" w:w="57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说明</w:t>
            </w:r>
          </w:p>
        </w:tc>
      </w:tr>
      <w:tr>
        <w:trPr>
          <w:cantSplit/>
        </w:trPr>
        <w:tc>
          <w:tcPr>
            <w:tcW w:type="dxa" w:w="1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Stage 1</w:t>
            </w:r>
          </w:p>
        </w:tc>
        <w:tc>
          <w:tcPr>
            <w:tcW w:type="dxa" w:w="25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scenario pre-setup</w:t>
            </w:r>
          </w:p>
        </w:tc>
        <w:tc>
          <w:tcPr>
            <w:tcW w:type="dxa" w:w="57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set_case_analysis、mode select、clock mux select、scan/mbist/gpio direction。</w:t>
            </w:r>
          </w:p>
        </w:tc>
      </w:tr>
      <w:tr>
        <w:trPr>
          <w:cantSplit/>
        </w:trPr>
        <w:tc>
          <w:tcPr>
            <w:tcW w:type="dxa" w:w="1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Stage 2</w:t>
            </w:r>
          </w:p>
        </w:tc>
        <w:tc>
          <w:tcPr>
            <w:tcW w:type="dxa" w:w="25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clock creation</w:t>
            </w:r>
          </w:p>
        </w:tc>
        <w:tc>
          <w:tcPr>
            <w:tcW w:type="dxa" w:w="57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source common/01；若有 scenario 专属 clock，再 source overlay。</w:t>
            </w:r>
          </w:p>
        </w:tc>
      </w:tr>
      <w:tr>
        <w:trPr>
          <w:cantSplit/>
        </w:trPr>
        <w:tc>
          <w:tcPr>
            <w:tcW w:type="dxa" w:w="1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Stage 3</w:t>
            </w:r>
          </w:p>
        </w:tc>
        <w:tc>
          <w:tcPr>
            <w:tcW w:type="dxa" w:w="25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clock timing budget</w:t>
            </w:r>
          </w:p>
        </w:tc>
        <w:tc>
          <w:tcPr>
            <w:tcW w:type="dxa" w:w="57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只 source 一个 02 resolved 文件：common view 用 common/02，具体 scenario 用 scenarios/&lt;scenario&gt;_clock_timing_&lt;stage&gt;_&lt;corner&gt;.sdc。</w:t>
            </w:r>
          </w:p>
        </w:tc>
      </w:tr>
      <w:tr>
        <w:trPr>
          <w:cantSplit/>
        </w:trPr>
        <w:tc>
          <w:tcPr>
            <w:tcW w:type="dxa" w:w="1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Stage 4</w:t>
            </w:r>
          </w:p>
        </w:tc>
        <w:tc>
          <w:tcPr>
            <w:tcW w:type="dxa" w:w="25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clock relationship</w:t>
            </w:r>
          </w:p>
        </w:tc>
        <w:tc>
          <w:tcPr>
            <w:tcW w:type="dxa" w:w="57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source common/03，再 source scenario clock group overlay。</w:t>
            </w:r>
          </w:p>
        </w:tc>
      </w:tr>
      <w:tr>
        <w:trPr>
          <w:cantSplit/>
        </w:trPr>
        <w:tc>
          <w:tcPr>
            <w:tcW w:type="dxa" w:w="1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Stage 5</w:t>
            </w:r>
          </w:p>
        </w:tc>
        <w:tc>
          <w:tcPr>
            <w:tcW w:type="dxa" w:w="25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IO/pad environment</w:t>
            </w:r>
          </w:p>
        </w:tc>
        <w:tc>
          <w:tcPr>
            <w:tcW w:type="dxa" w:w="57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t>source common/04；如存在 view-specific IO 电气约束，再 source common/04_&lt;stage&gt;_&lt;corner&gt;；最后 source scenario IO overlay。</w:t>
            </w:r>
          </w:p>
        </w:tc>
      </w:tr>
      <w:tr>
        <w:trPr>
          <w:cantSplit/>
        </w:trPr>
        <w:tc>
          <w:tcPr>
            <w:tcW w:type="dxa" w:w="1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Stage 6</w:t>
            </w:r>
          </w:p>
        </w:tc>
        <w:tc>
          <w:tcPr>
            <w:tcW w:type="dxa" w:w="25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harden/interface/feedthrough</w:t>
            </w:r>
          </w:p>
        </w:tc>
        <w:tc>
          <w:tcPr>
            <w:tcW w:type="dxa" w:w="57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r>
              <w:t>先 source common/10_harden_x_if.sdc；如存在 view-specific interface budget，再 source common/10_harden_x_if_&lt;stage&gt;_&lt;corner&gt;.sdc；然后 source common/30_feedthrough.sdc，最后追加 scenario harden_x_if/feedthrough overlay。</w:t>
            </w:r>
          </w:p>
        </w:tc>
      </w:tr>
      <w:tr>
        <w:trPr>
          <w:cantSplit/>
        </w:trPr>
        <w:tc>
          <w:tcPr>
            <w:tcW w:type="dxa" w:w="11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Stage 7</w:t>
            </w:r>
          </w:p>
        </w:tc>
        <w:tc>
          <w:tcPr>
            <w:tcW w:type="dxa" w:w="255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path exception</w:t>
            </w:r>
          </w:p>
        </w:tc>
        <w:tc>
          <w:tcPr>
            <w:tcW w:type="dxa" w:w="571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最后 source common/20 和 scenario exception。</w:t>
            </w:r>
          </w:p>
        </w:tc>
      </w:tr>
    </w:tbl>
    <w:p>
      <w:pPr>
        <w:spacing w:after="100" w:before="0" w:line="276" w:lineRule="auto"/>
      </w:pPr>
    </w:p>
    <w:p>
      <w:pPr>
        <w:pStyle w:val="Heading1"/>
        <w:keepNext/>
        <w:pageBreakBefore/>
        <w:spacing w:before="240" w:after="100" w:line="259" w:lineRule="auto"/>
      </w:pPr>
      <w:r>
        <w:rPr>
          <w:rFonts w:ascii="Arial" w:hAnsi="Arial" w:eastAsia="黑体" w:cs="Arial"/>
          <w:b/>
          <w:color w:val="202020"/>
          <w:sz w:val="30"/>
          <w:noProof/>
        </w:rPr>
        <w:t>5. 使用边界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0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主题</w:t>
            </w:r>
          </w:p>
        </w:tc>
        <w:tc>
          <w:tcPr>
            <w:tcW w:type="dxa" w:w="71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7F7F7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说明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harden 交付前提</w:t>
            </w:r>
          </w:p>
        </w:tc>
        <w:tc>
          <w:tcPr>
            <w:tcW w:type="dxa" w:w="71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凡 harden output port 会作为 SoC 或其他 harden 的 clock source，harden SoC integration SDC 必须显式声明该 output clock。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SpyGlass 复用边界</w:t>
            </w:r>
          </w:p>
        </w:tc>
        <w:tc>
          <w:tcPr>
            <w:tcW w:type="dxa" w:w="71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01 clock 定义和 03 async group 对 CDC setup 有复用价值；20/30 的 STA exception 不能直接替代 CDC/RDC signoff。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默认同步姿态</w:t>
            </w:r>
          </w:p>
        </w:tc>
        <w:tc>
          <w:tcPr>
            <w:tcW w:type="dxa" w:w="71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当前 03 采用默认 synchronous + 显式 async/exclusive。coverage report 未覆盖的跨 tree pair 默认仍做同步分析。</w:t>
            </w:r>
          </w:p>
        </w:tc>
      </w:tr>
      <w:tr>
        <w:trPr>
          <w:cantSplit/>
        </w:trPr>
        <w:tc>
          <w:tcPr>
            <w:tcW w:type="dxa" w:w="220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b/>
                <w:noProof/>
              </w:rPr>
            </w:r>
            <w:r>
              <w:rPr>
                <w:rFonts w:ascii="Times New Roman" w:hAnsi="Times New Roman" w:eastAsia="宋体" w:cs="Times New Roman"/>
                <w:b/>
                <w:color w:val="202020"/>
                <w:sz w:val="18"/>
                <w:noProof/>
              </w:rPr>
              <w:t>case_analysis 归属</w:t>
            </w:r>
          </w:p>
        </w:tc>
        <w:tc>
          <w:tcPr>
            <w:tcW w:type="dxa" w:w="7160"/>
            <w:tcMar>
              <w:top w:w="70" w:type="dxa"/>
              <w:start w:w="95" w:type="dxa"/>
              <w:bottom w:w="70" w:type="dxa"/>
              <w:end w:w="95" w:type="dxa"/>
            </w:tcMar>
            <w:vAlign w:val="center"/>
            <w:shd w:fill="FFFFFF"/>
          </w:tcPr>
          <w:p>
            <w:pPr>
              <w:spacing w:before="0" w:after="0" w:line="259" w:lineRule="auto"/>
            </w:pPr>
            <w:r>
              <w:rPr>
                <w:rFonts w:ascii="Times New Roman" w:hAnsi="Times New Roman" w:cs="Times New Roman" w:eastAsia="宋体"/>
                <w:color w:val="202020"/>
                <w:sz w:val="18"/>
                <w:noProof/>
              </w:rPr>
            </w:r>
            <w:r>
              <w:rPr>
                <w:rFonts w:ascii="Times New Roman" w:hAnsi="Times New Roman" w:eastAsia="宋体" w:cs="Times New Roman"/>
                <w:b w:val="0"/>
                <w:color w:val="202020"/>
                <w:sz w:val="18"/>
                <w:noProof/>
              </w:rPr>
              <w:t>set_case_analysis 属于 scenario pre-setup。per-scenario view 用 case_analysis；merged view 才使用 logically_exclusive。</w:t>
            </w:r>
          </w:p>
        </w:tc>
      </w:tr>
    </w:tbl>
    <w:p>
      <w:pPr>
        <w:spacing w:after="100" w:before="0" w:line="276" w:lineRule="auto"/>
      </w:pPr>
    </w:p>
    <w:p>
      <w:pPr>
        <w:spacing w:after="100" w:before="0" w:line="276" w:lineRule="auto"/>
      </w:pPr>
      <w:r>
        <w:rPr>
          <w:rFonts w:ascii="Times New Roman" w:hAnsi="Times New Roman" w:eastAsia="宋体" w:cs="Times New Roman"/>
          <w:color w:val="202020"/>
          <w:sz w:val="21"/>
          <w:noProof/>
        </w:rPr>
        <w:t>备注：本文档是当前 SoC SDC 架构的简版说明；脚本输入表单、检查项和生成细节以对应子目录规则文档为准。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96" w:left="1368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当前工作版 | 2026-06-22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黑体" w:cs="Arial"/>
        <w:color w:val="646464"/>
        <w:sz w:val="17"/>
        <w:noProof/>
      </w:rPr>
      <w:t>SoC SDC 结构说明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imes New Roman" w:hAnsi="Times New Roman" w:eastAsia="宋体" w:cs="Times New Roman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64" w:lineRule="auto"/>
      <w:outlineLvl w:val="0"/>
    </w:pPr>
    <w:rPr>
      <w:rFonts w:asciiTheme="majorHAnsi" w:eastAsiaTheme="majorEastAsia" w:hAnsiTheme="majorHAnsi" w:cstheme="majorBidi" w:ascii="Arial" w:hAnsi="Arial" w:eastAsia="黑体" w:cs="Arial"/>
      <w:b/>
      <w:bCs/>
      <w:color w:val="202020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4" w:lineRule="auto"/>
      <w:outlineLvl w:val="1"/>
    </w:pPr>
    <w:rPr>
      <w:rFonts w:asciiTheme="majorHAnsi" w:eastAsiaTheme="majorEastAsia" w:hAnsiTheme="majorHAnsi" w:cstheme="majorBidi" w:ascii="Arial" w:hAnsi="Arial" w:eastAsia="黑体" w:cs="Arial"/>
      <w:b/>
      <w:bCs/>
      <w:color w:val="2020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Arial" w:hAnsi="Arial" w:eastAsia="黑体" w:cs="Arial"/>
      <w:b/>
      <w:bCs/>
      <w:color w:val="20202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