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52" w:lineRule="auto"/>
        <w:jc w:val="left"/>
      </w:pPr>
      <w:r>
        <w:rPr>
          <w:rFonts w:ascii="Arial" w:hAnsi="Arial" w:eastAsia="黑体" w:cs="Arial"/>
          <w:b/>
          <w:color w:val="000000"/>
          <w:sz w:val="44"/>
          <w:noProof/>
        </w:rPr>
        <w:t>SoC SDC 结构说明</w:t>
      </w:r>
    </w:p>
    <w:p>
      <w:pPr>
        <w:spacing w:after="180" w:before="0" w:line="252" w:lineRule="auto"/>
      </w:pPr>
      <w:r>
        <w:rPr>
          <w:rFonts w:ascii="Times New Roman" w:hAnsi="Times New Roman" w:eastAsia="宋体" w:cs="Times New Roman"/>
          <w:color w:val="646464"/>
          <w:sz w:val="21"/>
          <w:noProof/>
        </w:rPr>
        <w:t>面向综合 / STA 的当前约定版本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适用范围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SoC 顶层 SDC 文件分层、source 顺序和各子 SDC 职责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当前阶段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先按 func 单一模式推进；scan / mbist / gpio 预留扩展入口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主要用途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综合、STA；SpyGlass CDC 主要复用 clock 定义和 async group</w:t>
            </w:r>
          </w:p>
        </w:tc>
      </w:tr>
    </w:tbl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本文只说明每个子 SDC 负责什么、哪些内容不应混放，以及推荐装配顺序。脚本表单和检查细节以对应子目录规则文档为准。</w:t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1. 总体结构</w:t>
      </w:r>
    </w:p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common 放所有模式都成立的约束；scenarios 放特定模式、方向或 stage/corner 的约束。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</w:tblPr>
      <w:tblGrid>
        <w:gridCol w:w="1650"/>
        <w:gridCol w:w="7710"/>
      </w:tblGrid>
      <w:tr>
        <w:trPr>
          <w:cantSplit/>
        </w:trPr>
        <w:tc>
          <w:tcPr>
            <w:tcW w:type="dxa" w:w="165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/>
                <w:color w:val="202020"/>
                <w:sz w:val="18"/>
                <w:noProof/>
              </w:rPr>
              <w:t>common/</w:t>
            </w:r>
          </w:p>
        </w:tc>
        <w:tc>
          <w:tcPr>
            <w:tcW w:type="dxa" w:w="771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01_soc_clocks.sdc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02_soc_clock_timing_&lt;stage&gt;_&lt;corner&gt;.sdc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03_soc_clock_groups.sdc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04_soc_io_pads.sdc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10_harden_x_if.sdc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20_harden_to_harden_exception.sdc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30_feedthrough.sdc</w:t>
            </w:r>
          </w:p>
        </w:tc>
      </w:tr>
      <w:tr>
        <w:tc>
          <w:tcPr>
            <w:tcW w:type="dxa" w:w="165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/>
                <w:color w:val="202020"/>
                <w:sz w:val="18"/>
                <w:noProof/>
              </w:rPr>
              <w:t>scenarios/</w:t>
            </w:r>
          </w:p>
        </w:tc>
        <w:tc>
          <w:tcPr>
            <w:tcW w:type="dxa" w:w="771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func.sdc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&lt;scenario&gt;_clock_timing_&lt;stage&gt;_&lt;corner&gt;.sdc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dft_scan.sdc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mbist.sdc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gpio_in.sdc</w:t>
            </w:r>
            <w:r>
              <w:rPr>
                <w:noProof/>
              </w:rPr>
              <w:br/>
            </w:r>
            <w:r>
              <w:rPr>
                <w:rFonts w:ascii="Consolas" w:hAnsi="Consolas" w:cs="Consolas" w:eastAsia="宋体"/>
                <w:b w:val="0"/>
                <w:color w:val="202020"/>
                <w:sz w:val="18"/>
                <w:noProof/>
              </w:rPr>
              <w:t>gpio_out.sdc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nil" w:sz="4" w:space="0" w:color="C9C9C9"/>
          <w:left w:val="nil" w:sz="4" w:space="0" w:color="C9C9C9"/>
          <w:bottom w:val="nil" w:sz="4" w:space="0" w:color="C9C9C9"/>
          <w:right w:val="nil" w:sz="4" w:space="0" w:color="C9C9C9"/>
          <w:insideH w:val="nil" w:sz="4" w:space="0" w:color="C9C9C9"/>
          <w:insideV w:val="nil" w:sz="4" w:space="0" w:color="C9C9C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FFFFFF"/>
          </w:tcPr>
          <w:p>
            <w:pPr>
              <w:spacing w:before="80" w:after="140" w:line="276" w:lineRule="auto"/>
            </w:pPr>
            <w:r>
              <w:rPr>
                <w:noProof/>
              </w:rPr>
            </w:r>
            <w:r>
              <w:rPr>
                <w:rFonts w:ascii="Arial" w:hAnsi="Arial" w:cs="Arial" w:eastAsia="黑体"/>
                <w:b/>
                <w:color w:val="202020"/>
                <w:sz w:val="20"/>
                <w:noProof/>
              </w:rPr>
              <w:t>核心原则：</w:t>
            </w:r>
            <w:r>
              <w:rPr>
                <w:rFonts w:ascii="Times New Roman" w:hAnsi="Times New Roman" w:cs="Times New Roman" w:eastAsia="宋体"/>
                <w:color w:val="202020"/>
                <w:sz w:val="20"/>
                <w:noProof/>
              </w:rPr>
              <w:t>clock 创建统一放 01；clock timing budget 放 02；clock relationship 放 03；IO 环境放 04；harden interface、feedthrough、path exception 分别放 10/30/20。</w:t>
            </w:r>
          </w:p>
        </w:tc>
      </w:tr>
    </w:tbl>
    <w:p>
      <w:pPr>
        <w:spacing w:after="100" w:before="0" w:line="276" w:lineRule="auto"/>
      </w:pPr>
    </w:p>
    <w:p>
      <w:pPr>
        <w:spacing w:before="0" w:after="100" w:line="276" w:lineRule="auto"/>
      </w:pPr>
      <w:r>
        <w:rPr>
          <w:rFonts w:ascii="Times New Roman" w:hAnsi="Times New Roman" w:cs="Times New Roman" w:eastAsia="宋体"/>
          <w:color w:val="202020"/>
          <w:sz w:val="21"/>
          <w:noProof/>
        </w:rPr>
        <w:br w:type="page"/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2. common 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文件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主要作用与边界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01_soc_clocks.sdc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创建 SoC 级 clock object：top/pad/ref/test、harden output/generated/forwarded、virtual。所有 create_clock / create_generated_clock 只在 01。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不放 clock budget、clock group、IO delay、path exception。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02_soc_clock_timing_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&lt;stage&gt;_&lt;corner&gt;.sdc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timing budget：uncertainty、latency、transition、propagated、derate/OCV。按 stage/corner 拆文件；scenario != common 用 resolved effective 文件。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不创建 clock，不放 group/IO/exception。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03_soc_clock_groups.sdc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relationship：async、logically exclusive、physically exclusive。当前默认同步，显式枚举 async/exclusive。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用 01 genealogy 检查派生 clock 覆盖；mux 已 case_analysis 时不重复 exclusive。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04_soc_io_pads.sdc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Top IO/pad environment：input/output delay、driving_cell/drive、load、input_transition、IO design rule。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引用 01 virtual clock；GPIO/inout 方向依赖下沉场景；不创建 clock。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10_harden_x_if.sdc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SoC 视角的 harden interface 约束：边界 pin group、公共接口 timing、harden integration SDC 可提升到 SoC 级的边界约束。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不是 harden 内部 full SDC；不放 harden-to-harden exception。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20_harden_to_harden_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exception.sdc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Harden A 到 Harden B 的 common path exception：false_path、multicycle、max/min delay。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高风险；只放所有 mode 都成立且有架构依据的 exception，不能用于单纯清 violation。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30_feedthrough.sdc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结构性 feedthrough 约束：pad-to-pad、pad-to-harden、harden-to-pad、harden-to-harden 纯穿通路径。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若依赖某个 mode 的 mux/isolation/direction，放到对应 scenario。</w:t>
            </w:r>
          </w:p>
        </w:tc>
      </w:tr>
    </w:tbl>
    <w:p>
      <w:pPr>
        <w:spacing w:after="100" w:before="0" w:line="276" w:lineRule="auto"/>
      </w:pPr>
    </w:p>
    <w:p>
      <w:pPr>
        <w:spacing w:before="0" w:after="100" w:line="276" w:lineRule="auto"/>
      </w:pPr>
      <w:r>
        <w:rPr>
          <w:rFonts w:ascii="Times New Roman" w:hAnsi="Times New Roman" w:cs="Times New Roman" w:eastAsia="宋体"/>
          <w:color w:val="202020"/>
          <w:sz w:val="21"/>
          <w:noProof/>
        </w:rPr>
        <w:br w:type="page"/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3. scenario 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文件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主要作用与边界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func.sdc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功能模式入口。当前可在内部按阶段 source：func pre-setup、01、resolved 02、03、04、10/30、20 和 func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&lt;scenario&gt;_clock_timing_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&lt;stage&gt;_&lt;corner&gt;.sdc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该 scenario/stage/corner 的 resolved effective 02 文件。已完成 common fallback 与 scenario override 决策；不要再叠加 common 02。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dft_scan.sdc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Scan/test 专属：scan_en/test_mode case_analysis、scan clock、scan IO、scan-only clock group 或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mbist.sdc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MBIST/BIST 专属：bist_en、mbist clock、mbist IO、mbist-only clock group 或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gpio_in.sdc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GPIO input 方向专属：方向 case_analysis、input delay、input transition、外部 driving model 等。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gpio_out.sdc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GPIO output 方向专属：方向 case_analysis、output delay、set_load、输出相关 design rule 等。</w:t>
            </w:r>
          </w:p>
        </w:tc>
      </w:tr>
    </w:tbl>
    <w:p>
      <w:pPr>
        <w:spacing w:after="100" w:before="0" w:line="276" w:lineRule="auto"/>
      </w:pP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4. 推荐装配顺序</w:t>
      </w:r>
    </w:p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SDC 是顺序敏感的。建议每个 scenario 入口文件按阶段组织，不靠后 source 覆盖冲突。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100"/>
        <w:gridCol w:w="2550"/>
        <w:gridCol w:w="5710"/>
      </w:tblGrid>
      <w:tr>
        <w:trPr>
          <w:tblHeader w:val="true"/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阶段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内容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说明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1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scenario pre-setup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set_case_analysis、mode select、clock mux select、scan/mbist/gpio direction。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2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creation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common/01；若有 scenario 专属 clock，再 source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3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timing budget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只 source 一个 02 resolved 文件：common view 用 common/02，具体 scenario 用 scenarios/&lt;scenario&gt;_clock_timing_&lt;stage&gt;_&lt;corner&gt;.sdc。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4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relationship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common/03，再 source scenario clock group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5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IO/pad environment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common/04，再 source scenario IO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6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harden/interface/feedthrough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common/10、common/30，再追加 scenario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7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path exception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最后 source common/20 和 scenario exception。</w:t>
            </w:r>
          </w:p>
        </w:tc>
      </w:tr>
    </w:tbl>
    <w:p>
      <w:pPr>
        <w:spacing w:after="100" w:before="0" w:line="276" w:lineRule="auto"/>
      </w:pPr>
    </w:p>
    <w:p>
      <w:pPr>
        <w:pStyle w:val="Heading1"/>
        <w:keepNext/>
        <w:pageBreakBefore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5. 使用边界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主题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harden 交付前提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凡 harden output port 会作为 SoC 或其他 harden 的 clock source，harden SoC integration SDC 必须显式声明该 output clock。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SpyGlass 复用边界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01 clock 定义和 03 async group 对 CDC setup 有复用价值；20/30 的 STA exception 不能直接替代 CDC/RDC signoff。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默认同步姿态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当前 03 采用默认 synchronous + 显式 async/exclusive。coverage report 未覆盖的跨 tree pair 默认仍做同步分析。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case_analysis 归属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set_case_analysis 属于 scenario pre-setup。per-scenario view 用 case_analysis；merged view 才使用 logically_exclusive。</w:t>
            </w:r>
          </w:p>
        </w:tc>
      </w:tr>
    </w:tbl>
    <w:p>
      <w:pPr>
        <w:spacing w:after="100" w:before="0" w:line="276" w:lineRule="auto"/>
      </w:pPr>
    </w:p>
    <w:p>
      <w:pPr>
        <w:spacing w:after="100" w:before="0" w:line="276" w:lineRule="auto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备注：本文档是当前 SoC SDC 架构的简版说明；脚本输入表单、检查项和生成细节以对应子目录规则文档为准。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黑体" w:cs="Arial"/>
        <w:color w:val="646464"/>
        <w:sz w:val="17"/>
        <w:noProof/>
      </w:rPr>
      <w:t>当前工作版 | 2026-06-16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黑体" w:cs="Arial"/>
        <w:color w:val="646464"/>
        <w:sz w:val="17"/>
        <w:noProof/>
      </w:rPr>
      <w:t>SoC SDC 结构说明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宋体" w:cs="Times New Roman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