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Our sound setup</w:t>
      </w:r>
    </w:p>
    <w:p>
      <w:pPr>
        <w:pStyle w:val="Subtitle"/>
      </w:pPr>
      <w:r>
        <w:t>Parts and setup  |  16 October 2026</w:t>
      </w:r>
    </w:p>
    <w:p>
      <w:r>
        <w:rPr>
          <w:b/>
        </w:rPr>
        <w:t>Goal:</w:t>
      </w:r>
      <w:r>
        <w:t xml:space="preserve"> play and measure approximately 1.4–32 kHz tones, changing every 10 ms. Check the sound setup on the mouse rig first, then recalibrate for sheep.</w:t>
      </w:r>
    </w:p>
    <w:p>
      <w:pPr>
        <w:pStyle w:val="Heading2"/>
      </w:pPr>
      <w:r>
        <w:t>What to get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00" w:type="dxa"/>
          <w:right w:w="100" w:type="dxa"/>
        </w:tblCellMar>
      </w:tblPr>
      <w:tblGrid>
        <w:gridCol w:w="3024"/>
        <w:gridCol w:w="5256"/>
        <w:gridCol w:w="576"/>
        <w:gridCol w:w="1512"/>
      </w:tblGrid>
      <w:tr>
        <w:trPr>
          <w:tblHeader w:val="true"/>
          <w:cantSplit/>
        </w:trPr>
        <w:tc>
          <w:tcPr>
            <w:tcW w:type="dxa" w:w="3024"/>
            <w:vAlign w:val="center"/>
            <w:shd w:fill="30343A"/>
          </w:tcPr>
          <w:p>
            <w:pPr>
              <w:spacing w:after="20" w:before="20" w:line="252" w:lineRule="auto"/>
            </w:pPr>
            <w:r>
              <w:rPr>
                <w:b/>
                <w:color w:val="FFFFFF"/>
                <w:sz w:val="22"/>
              </w:rPr>
              <w:t>Part and buying link</w:t>
            </w:r>
          </w:p>
        </w:tc>
        <w:tc>
          <w:tcPr>
            <w:tcW w:type="dxa" w:w="5256"/>
            <w:vAlign w:val="center"/>
            <w:shd w:fill="30343A"/>
          </w:tcPr>
          <w:p>
            <w:pPr>
              <w:spacing w:after="20" w:before="20" w:line="252" w:lineRule="auto"/>
            </w:pPr>
            <w:r>
              <w:rPr>
                <w:b/>
                <w:color w:val="FFFFFF"/>
                <w:sz w:val="22"/>
              </w:rPr>
              <w:t>Other options and why this fits</w:t>
            </w:r>
          </w:p>
        </w:tc>
        <w:tc>
          <w:tcPr>
            <w:tcW w:type="dxa" w:w="576"/>
            <w:vAlign w:val="center"/>
            <w:shd w:fill="30343A"/>
          </w:tcPr>
          <w:p>
            <w:pPr>
              <w:spacing w:after="20" w:before="20" w:line="252" w:lineRule="auto"/>
              <w:jc w:val="center"/>
            </w:pPr>
            <w:r>
              <w:rPr>
                <w:b/>
                <w:color w:val="FFFFFF"/>
                <w:sz w:val="22"/>
              </w:rPr>
              <w:t>Qty</w:t>
            </w:r>
          </w:p>
        </w:tc>
        <w:tc>
          <w:tcPr>
            <w:tcW w:type="dxa" w:w="1512"/>
            <w:vAlign w:val="center"/>
            <w:shd w:fill="30343A"/>
          </w:tcPr>
          <w:p>
            <w:pPr>
              <w:spacing w:after="20" w:before="20" w:line="252" w:lineRule="auto"/>
              <w:jc w:val="center"/>
            </w:pPr>
            <w:r>
              <w:rPr>
                <w:b/>
                <w:color w:val="FFFFFF"/>
                <w:sz w:val="22"/>
              </w:rPr>
              <w:t>Cost</w:t>
            </w:r>
          </w:p>
        </w:tc>
      </w:tr>
      <w:tr>
        <w:trPr>
          <w:cantSplit/>
        </w:trPr>
        <w:tc>
          <w:tcPr>
            <w:tcW w:type="dxa" w:w="3024"/>
            <w:vAlign w:val="center"/>
            <w:shd w:fill="FFFFFF"/>
          </w:tcPr>
          <w:p>
            <w:pPr>
              <w:spacing w:after="20" w:before="20" w:line="252" w:lineRule="auto"/>
            </w:pPr>
            <w:hyperlink r:id="rId10">
              <w:r>
                <w:rPr>
                  <w:color w:val="245B87"/>
                  <w:u w:val="single"/>
                </w:rPr>
                <w:t>Earthworks M50</w:t>
              </w:r>
            </w:hyperlink>
          </w:p>
        </w:tc>
        <w:tc>
          <w:tcPr>
            <w:tcW w:type="dxa" w:w="5256"/>
            <w:vAlign w:val="center"/>
            <w:shd w:fill="FFFFFF"/>
          </w:tcPr>
          <w:p>
            <w:pPr>
              <w:spacing w:after="20" w:before="20" w:line="252" w:lineRule="auto"/>
            </w:pPr>
            <w:r>
              <w:rPr>
                <w:sz w:val="22"/>
              </w:rPr>
              <w:t>UMIK-2 factory calibration stops at 20 kHz; M30 G2 calibration at 32 kHz is unconfirmed. M50 offers a 50 kHz range and individual calibration with our Mac interface.</w:t>
            </w:r>
          </w:p>
        </w:tc>
        <w:tc>
          <w:tcPr>
            <w:tcW w:type="dxa" w:w="576"/>
            <w:vAlign w:val="center"/>
            <w:shd w:fill="FFFFFF"/>
          </w:tcPr>
          <w:p>
            <w:pPr>
              <w:spacing w:after="20" w:before="20" w:line="252" w:lineRule="auto"/>
              <w:jc w:val="center"/>
            </w:pPr>
            <w:r>
              <w:rPr>
                <w:sz w:val="22"/>
              </w:rPr>
              <w:t>1</w:t>
            </w:r>
          </w:p>
        </w:tc>
        <w:tc>
          <w:tcPr>
            <w:tcW w:type="dxa" w:w="1512"/>
            <w:vAlign w:val="center"/>
            <w:shd w:fill="FFFFFF"/>
          </w:tcPr>
          <w:p>
            <w:pPr>
              <w:spacing w:after="20" w:before="20" w:line="252" w:lineRule="auto"/>
              <w:jc w:val="center"/>
            </w:pPr>
            <w:r>
              <w:rPr>
                <w:sz w:val="22"/>
              </w:rPr>
              <w:t>$1,299.00</w:t>
            </w:r>
          </w:p>
        </w:tc>
      </w:tr>
      <w:tr>
        <w:trPr>
          <w:cantSplit/>
        </w:trPr>
        <w:tc>
          <w:tcPr>
            <w:tcW w:type="dxa" w:w="3024"/>
            <w:vAlign w:val="center"/>
            <w:shd w:fill="F3F4F5"/>
          </w:tcPr>
          <w:p>
            <w:pPr>
              <w:spacing w:after="20" w:before="20" w:line="252" w:lineRule="auto"/>
            </w:pPr>
            <w:hyperlink r:id="rId11">
              <w:r>
                <w:rPr>
                  <w:color w:val="245B87"/>
                  <w:u w:val="single"/>
                </w:rPr>
                <w:t>Audient iD14 MKII</w:t>
              </w:r>
            </w:hyperlink>
          </w:p>
        </w:tc>
        <w:tc>
          <w:tcPr>
            <w:tcW w:type="dxa" w:w="5256"/>
            <w:vAlign w:val="center"/>
            <w:shd w:fill="F3F4F5"/>
          </w:tcPr>
          <w:p>
            <w:pPr>
              <w:spacing w:after="20" w:before="20" w:line="252" w:lineRule="auto"/>
            </w:pPr>
            <w:r>
              <w:rPr>
                <w:sz w:val="22"/>
              </w:rPr>
              <w:t>iD4 can do the basic sound checkout, but has one full-band mic/line input. iD14 gives two for recording the mic and electrical timing reference together.</w:t>
            </w:r>
          </w:p>
        </w:tc>
        <w:tc>
          <w:tcPr>
            <w:tcW w:type="dxa" w:w="576"/>
            <w:vAlign w:val="center"/>
            <w:shd w:fill="F3F4F5"/>
          </w:tcPr>
          <w:p>
            <w:pPr>
              <w:spacing w:after="20" w:before="20" w:line="252" w:lineRule="auto"/>
              <w:jc w:val="center"/>
            </w:pPr>
            <w:r>
              <w:rPr>
                <w:sz w:val="22"/>
              </w:rPr>
              <w:t>1</w:t>
            </w:r>
          </w:p>
        </w:tc>
        <w:tc>
          <w:tcPr>
            <w:tcW w:type="dxa" w:w="1512"/>
            <w:vAlign w:val="center"/>
            <w:shd w:fill="F3F4F5"/>
          </w:tcPr>
          <w:p>
            <w:pPr>
              <w:spacing w:after="20" w:before="20" w:line="252" w:lineRule="auto"/>
              <w:jc w:val="center"/>
            </w:pPr>
            <w:r>
              <w:rPr>
                <w:sz w:val="22"/>
              </w:rPr>
              <w:t>$349.00</w:t>
            </w:r>
          </w:p>
        </w:tc>
      </w:tr>
      <w:tr>
        <w:trPr>
          <w:cantSplit/>
        </w:trPr>
        <w:tc>
          <w:tcPr>
            <w:tcW w:type="dxa" w:w="3024"/>
            <w:vAlign w:val="center"/>
            <w:shd w:fill="FFFFFF"/>
          </w:tcPr>
          <w:p>
            <w:pPr>
              <w:spacing w:after="20" w:before="20" w:line="252" w:lineRule="auto"/>
            </w:pPr>
            <w:hyperlink r:id="rId12">
              <w:r>
                <w:rPr>
                  <w:color w:val="245B87"/>
                  <w:u w:val="single"/>
                </w:rPr>
                <w:t>Edifier MR3 powered pair</w:t>
              </w:r>
            </w:hyperlink>
          </w:p>
        </w:tc>
        <w:tc>
          <w:tcPr>
            <w:tcW w:type="dxa" w:w="5256"/>
            <w:vAlign w:val="center"/>
            <w:shd w:fill="FFFFFF"/>
          </w:tcPr>
          <w:p>
            <w:pPr>
              <w:spacing w:after="20" w:before="20" w:line="252" w:lineRule="auto"/>
            </w:pPr>
            <w:r>
              <w:rPr>
                <w:sz w:val="22"/>
              </w:rPr>
              <w:t>Original MR4 stops at 20 kHz. MR5 ($349.99) also specifies 40 kHz. MR3 saves $200 and covers our target on paper; 10 ms acoustic tests are still required.</w:t>
            </w:r>
          </w:p>
        </w:tc>
        <w:tc>
          <w:tcPr>
            <w:tcW w:type="dxa" w:w="576"/>
            <w:vAlign w:val="center"/>
            <w:shd w:fill="FFFFFF"/>
          </w:tcPr>
          <w:p>
            <w:pPr>
              <w:spacing w:after="20" w:before="20" w:line="252" w:lineRule="auto"/>
              <w:jc w:val="center"/>
            </w:pPr>
            <w:r>
              <w:rPr>
                <w:sz w:val="22"/>
              </w:rPr>
              <w:t>1</w:t>
            </w:r>
          </w:p>
        </w:tc>
        <w:tc>
          <w:tcPr>
            <w:tcW w:type="dxa" w:w="1512"/>
            <w:vAlign w:val="center"/>
            <w:shd w:fill="FFFFFF"/>
          </w:tcPr>
          <w:p>
            <w:pPr>
              <w:spacing w:after="20" w:before="20" w:line="252" w:lineRule="auto"/>
              <w:jc w:val="center"/>
            </w:pPr>
            <w:r>
              <w:rPr>
                <w:sz w:val="22"/>
              </w:rPr>
              <w:t>$149.99</w:t>
            </w:r>
          </w:p>
        </w:tc>
      </w:tr>
      <w:tr>
        <w:trPr>
          <w:cantSplit/>
        </w:trPr>
        <w:tc>
          <w:tcPr>
            <w:tcW w:type="dxa" w:w="3024"/>
            <w:vAlign w:val="center"/>
            <w:shd w:fill="F3F4F5"/>
          </w:tcPr>
          <w:p>
            <w:pPr>
              <w:spacing w:after="20" w:before="20" w:line="252" w:lineRule="auto"/>
            </w:pPr>
            <w:hyperlink r:id="rId13">
              <w:r>
                <w:rPr>
                  <w:color w:val="245B87"/>
                  <w:u w:val="single"/>
                </w:rPr>
                <w:t>REED R8090</w:t>
              </w:r>
            </w:hyperlink>
          </w:p>
        </w:tc>
        <w:tc>
          <w:tcPr>
            <w:tcW w:type="dxa" w:w="5256"/>
            <w:vAlign w:val="center"/>
            <w:shd w:fill="F3F4F5"/>
          </w:tcPr>
          <w:p>
            <w:pPr>
              <w:spacing w:after="20" w:before="20" w:line="252" w:lineRule="auto"/>
            </w:pPr>
            <w:r>
              <w:rPr>
                <w:sz w:val="22"/>
              </w:rPr>
              <w:t>Extech 407766 ($519 listed) also provides a 1 kHz level check. R8090 costs less; both state +/-0.5 dB at 94 dB. R8090-NIST adds a certificate at extra cost.</w:t>
            </w:r>
          </w:p>
        </w:tc>
        <w:tc>
          <w:tcPr>
            <w:tcW w:type="dxa" w:w="576"/>
            <w:vAlign w:val="center"/>
            <w:shd w:fill="F3F4F5"/>
          </w:tcPr>
          <w:p>
            <w:pPr>
              <w:spacing w:after="20" w:before="20" w:line="252" w:lineRule="auto"/>
              <w:jc w:val="center"/>
            </w:pPr>
            <w:r>
              <w:rPr>
                <w:sz w:val="22"/>
              </w:rPr>
              <w:t>1</w:t>
            </w:r>
          </w:p>
        </w:tc>
        <w:tc>
          <w:tcPr>
            <w:tcW w:type="dxa" w:w="1512"/>
            <w:vAlign w:val="center"/>
            <w:shd w:fill="F3F4F5"/>
          </w:tcPr>
          <w:p>
            <w:pPr>
              <w:spacing w:after="20" w:before="20" w:line="252" w:lineRule="auto"/>
              <w:jc w:val="center"/>
            </w:pPr>
            <w:r>
              <w:rPr>
                <w:sz w:val="22"/>
              </w:rPr>
              <w:t>$219.00</w:t>
            </w:r>
          </w:p>
        </w:tc>
      </w:tr>
      <w:tr>
        <w:trPr>
          <w:cantSplit/>
        </w:trPr>
        <w:tc>
          <w:tcPr>
            <w:tcW w:type="dxa" w:w="3024"/>
            <w:vAlign w:val="center"/>
            <w:shd w:fill="FFFFFF"/>
          </w:tcPr>
          <w:p>
            <w:pPr>
              <w:spacing w:after="20" w:before="20" w:line="252" w:lineRule="auto"/>
            </w:pPr>
            <w:hyperlink r:id="rId14">
              <w:r>
                <w:rPr>
                  <w:color w:val="245B87"/>
                  <w:u w:val="single"/>
                </w:rPr>
                <w:t>Hosa HMIC-010 XLR
10 ft</w:t>
              </w:r>
            </w:hyperlink>
          </w:p>
        </w:tc>
        <w:tc>
          <w:tcPr>
            <w:tcW w:type="dxa" w:w="5256"/>
            <w:vAlign w:val="center"/>
            <w:shd w:fill="FFFFFF"/>
          </w:tcPr>
          <w:p>
            <w:pPr>
              <w:spacing w:after="20" w:before="20" w:line="252" w:lineRule="auto"/>
            </w:pPr>
            <w:r>
              <w:rPr>
                <w:sz w:val="22"/>
              </w:rPr>
              <w:t>Connects M50 to the interface.</w:t>
            </w:r>
          </w:p>
        </w:tc>
        <w:tc>
          <w:tcPr>
            <w:tcW w:type="dxa" w:w="576"/>
            <w:vAlign w:val="center"/>
            <w:shd w:fill="FFFFFF"/>
          </w:tcPr>
          <w:p>
            <w:pPr>
              <w:spacing w:after="20" w:before="20" w:line="252" w:lineRule="auto"/>
              <w:jc w:val="center"/>
            </w:pPr>
            <w:r>
              <w:rPr>
                <w:sz w:val="22"/>
              </w:rPr>
              <w:t>1</w:t>
            </w:r>
          </w:p>
        </w:tc>
        <w:tc>
          <w:tcPr>
            <w:tcW w:type="dxa" w:w="1512"/>
            <w:vAlign w:val="center"/>
            <w:shd w:fill="FFFFFF"/>
          </w:tcPr>
          <w:p>
            <w:pPr>
              <w:spacing w:after="20" w:before="20" w:line="252" w:lineRule="auto"/>
              <w:jc w:val="center"/>
            </w:pPr>
            <w:r>
              <w:rPr>
                <w:sz w:val="22"/>
              </w:rPr>
              <w:t>$17.99</w:t>
            </w:r>
          </w:p>
        </w:tc>
      </w:tr>
      <w:tr>
        <w:trPr>
          <w:cantSplit/>
        </w:trPr>
        <w:tc>
          <w:tcPr>
            <w:tcW w:type="dxa" w:w="3024"/>
            <w:vAlign w:val="center"/>
            <w:shd w:fill="F3F4F5"/>
          </w:tcPr>
          <w:p>
            <w:pPr>
              <w:spacing w:after="20" w:before="20" w:line="252" w:lineRule="auto"/>
            </w:pPr>
            <w:hyperlink r:id="rId15">
              <w:r>
                <w:rPr>
                  <w:color w:val="245B87"/>
                  <w:u w:val="single"/>
                </w:rPr>
                <w:t>Hosa HSS-005 TRS
5 ft</w:t>
              </w:r>
            </w:hyperlink>
          </w:p>
        </w:tc>
        <w:tc>
          <w:tcPr>
            <w:tcW w:type="dxa" w:w="5256"/>
            <w:vAlign w:val="center"/>
            <w:shd w:fill="F3F4F5"/>
          </w:tcPr>
          <w:p>
            <w:pPr>
              <w:spacing w:after="20" w:before="20" w:line="252" w:lineRule="auto"/>
            </w:pPr>
            <w:r>
              <w:rPr>
                <w:sz w:val="22"/>
              </w:rPr>
              <w:t>One cable to the speaker; one for the electrical reference.</w:t>
            </w:r>
          </w:p>
        </w:tc>
        <w:tc>
          <w:tcPr>
            <w:tcW w:type="dxa" w:w="576"/>
            <w:vAlign w:val="center"/>
            <w:shd w:fill="F3F4F5"/>
          </w:tcPr>
          <w:p>
            <w:pPr>
              <w:spacing w:after="20" w:before="20" w:line="252" w:lineRule="auto"/>
              <w:jc w:val="center"/>
            </w:pPr>
            <w:r>
              <w:rPr>
                <w:sz w:val="22"/>
              </w:rPr>
              <w:t>2</w:t>
            </w:r>
          </w:p>
        </w:tc>
        <w:tc>
          <w:tcPr>
            <w:tcW w:type="dxa" w:w="1512"/>
            <w:vAlign w:val="center"/>
            <w:shd w:fill="F3F4F5"/>
          </w:tcPr>
          <w:p>
            <w:pPr>
              <w:spacing w:after="20" w:before="20" w:line="252" w:lineRule="auto"/>
              <w:jc w:val="center"/>
            </w:pPr>
            <w:r>
              <w:rPr>
                <w:sz w:val="22"/>
              </w:rPr>
              <w:t>$29.90</w:t>
            </w:r>
          </w:p>
        </w:tc>
      </w:tr>
      <w:tr>
        <w:trPr>
          <w:cantSplit/>
        </w:trPr>
        <w:tc>
          <w:tcPr>
            <w:tcW w:type="dxa" w:w="3024"/>
            <w:vAlign w:val="center"/>
            <w:shd w:fill="FFFFFF"/>
          </w:tcPr>
          <w:p>
            <w:pPr>
              <w:spacing w:after="20" w:before="20" w:line="252" w:lineRule="auto"/>
            </w:pPr>
            <w:hyperlink r:id="rId16">
              <w:r>
                <w:rPr>
                  <w:color w:val="245B87"/>
                  <w:u w:val="single"/>
                </w:rPr>
                <w:t>Gator RI-MICTP-FBM
boom mic stand</w:t>
              </w:r>
            </w:hyperlink>
          </w:p>
        </w:tc>
        <w:tc>
          <w:tcPr>
            <w:tcW w:type="dxa" w:w="5256"/>
            <w:vAlign w:val="center"/>
            <w:shd w:fill="FFFFFF"/>
          </w:tcPr>
          <w:p>
            <w:pPr>
              <w:spacing w:after="20" w:before="20" w:line="252" w:lineRule="auto"/>
            </w:pPr>
            <w:r>
              <w:rPr>
                <w:sz w:val="22"/>
              </w:rPr>
              <w:t>Holds the microphone at the ear position.</w:t>
            </w:r>
          </w:p>
        </w:tc>
        <w:tc>
          <w:tcPr>
            <w:tcW w:type="dxa" w:w="576"/>
            <w:vAlign w:val="center"/>
            <w:shd w:fill="FFFFFF"/>
          </w:tcPr>
          <w:p>
            <w:pPr>
              <w:spacing w:after="20" w:before="20" w:line="252" w:lineRule="auto"/>
              <w:jc w:val="center"/>
            </w:pPr>
            <w:r>
              <w:rPr>
                <w:sz w:val="22"/>
              </w:rPr>
              <w:t>1</w:t>
            </w:r>
          </w:p>
        </w:tc>
        <w:tc>
          <w:tcPr>
            <w:tcW w:type="dxa" w:w="1512"/>
            <w:vAlign w:val="center"/>
            <w:shd w:fill="FFFFFF"/>
          </w:tcPr>
          <w:p>
            <w:pPr>
              <w:spacing w:after="20" w:before="20" w:line="252" w:lineRule="auto"/>
              <w:jc w:val="center"/>
            </w:pPr>
            <w:r>
              <w:rPr>
                <w:sz w:val="22"/>
              </w:rPr>
              <w:t>$34.99</w:t>
            </w:r>
          </w:p>
        </w:tc>
      </w:tr>
    </w:tbl>
    <w:p>
      <w:pPr>
        <w:spacing w:after="0"/>
      </w:pPr>
      <w:r/>
    </w:p>
    <w:p>
      <w:r>
        <w:br w:type="page"/>
      </w:r>
    </w:p>
    <w:p>
      <w:pPr>
        <w:pStyle w:val="Heading1"/>
      </w:pPr>
      <w:r>
        <w:t>Put it together</w:t>
      </w:r>
    </w:p>
    <w:p>
      <w:pPr>
        <w:spacing w:after="60"/>
        <w:jc w:val="center"/>
      </w:pPr>
      <w:r>
        <w:drawing>
          <wp:inline xmlns:a="http://schemas.openxmlformats.org/drawingml/2006/main" xmlns:pic="http://schemas.openxmlformats.org/drawingml/2006/picture">
            <wp:extent cx="6446520" cy="2650236"/>
            <wp:docPr id="1" name="Picture 1" title="Connections for sound playback and recording" descr="Mac connects to iD14 by USB. Output one feeds MR3 by TRS. M50 measures the sound at the ear position and connects to input one by XLR with phantom on. Output two returns to rear line input two with phantom off through the second TRS cable as a duplicate electrical reference."/>
            <wp:cNvGraphicFramePr>
              <a:graphicFrameLocks noChangeAspect="1"/>
            </wp:cNvGraphicFramePr>
            <a:graphic>
              <a:graphicData uri="http://schemas.openxmlformats.org/drawingml/2006/picture">
                <pic:pic>
                  <pic:nvPicPr>
                    <pic:cNvPr id="0" name="sound_setup_connections.png"/>
                    <pic:cNvPicPr/>
                  </pic:nvPicPr>
                  <pic:blipFill>
                    <a:blip r:embed="rId17"/>
                    <a:stretch>
                      <a:fillRect/>
                    </a:stretch>
                  </pic:blipFill>
                  <pic:spPr>
                    <a:xfrm>
                      <a:off x="0" y="0"/>
                      <a:ext cx="6446520" cy="2650236"/>
                    </a:xfrm>
                    <a:prstGeom prst="rect"/>
                  </pic:spPr>
                </pic:pic>
              </a:graphicData>
            </a:graphic>
          </wp:inline>
        </w:drawing>
      </w:r>
    </w:p>
    <w:p>
      <w:pPr>
        <w:pStyle w:val="Caption"/>
      </w:pPr>
      <w:r>
        <w:t>Connections for sound playback and recording</w:t>
      </w:r>
    </w:p>
    <w:p>
      <w:pPr>
        <w:pStyle w:val="ListNumber"/>
        <w:numPr>
          <w:ilvl w:val="0"/>
          <w:numId w:val="10"/>
        </w:numPr>
        <w:spacing w:after="180"/>
      </w:pPr>
      <w:r/>
      <w:r>
        <w:rPr>
          <w:b/>
        </w:rPr>
        <w:t xml:space="preserve">Connect and position. </w:t>
      </w:r>
      <w:r>
        <w:t>Connect as shown. Turn input monitoring off to prevent feedback; leave the front instrument input empty. Put the M50 tip at the ear/reference position and record distance and angle.</w:t>
      </w:r>
    </w:p>
    <w:p>
      <w:pPr>
        <w:pStyle w:val="ListNumber"/>
        <w:numPr>
          <w:ilvl w:val="0"/>
          <w:numId w:val="10"/>
        </w:numPr>
        <w:spacing w:after="180"/>
      </w:pPr>
      <w:r/>
      <w:r>
        <w:rPr>
          <w:b/>
        </w:rPr>
        <w:t xml:space="preserve">Program the sequence. </w:t>
      </w:r>
      <w:r>
        <w:t>Python builds one continuous waveform at 96 kHz: 960 samples per 10 ms pip, including a 2 ms ramp at each end. Send it to output 1 and a copy to output 2. Save the tone schedule and random seed.</w:t>
      </w:r>
    </w:p>
    <w:p>
      <w:pPr>
        <w:pStyle w:val="ListNumber"/>
        <w:numPr>
          <w:ilvl w:val="0"/>
          <w:numId w:val="10"/>
        </w:numPr>
        <w:spacing w:after="180"/>
      </w:pPr>
      <w:r/>
      <w:r>
        <w:rPr>
          <w:b/>
        </w:rPr>
        <w:t xml:space="preserve">Calibrate. </w:t>
      </w:r>
      <w:r>
        <w:t>Use the calibration file for that M50, checking coverage through 32 kHz. Use the R8090 at 94 dB to set the recording scale, then keep mic gain fixed. Remove the calibrator and adjust each tone’s level using recordings at the ear position.</w:t>
      </w:r>
    </w:p>
    <w:p>
      <w:pPr>
        <w:pStyle w:val="ListNumber"/>
        <w:numPr>
          <w:ilvl w:val="0"/>
          <w:numId w:val="10"/>
        </w:numPr>
        <w:spacing w:after="180"/>
      </w:pPr>
      <w:r/>
      <w:r>
        <w:rPr>
          <w:b/>
        </w:rPr>
        <w:t xml:space="preserve">Check the actual sound. </w:t>
      </w:r>
      <w:r>
        <w:t>Record the microphone and electrical reference simultaneously during the actual 10 ms sequence. Check level at every frequency, short-tone transitions, ringing and stability through a full run. Check the reference channel’s relative delay too. Repeat calibration when moving to sheep.</w:t>
      </w:r>
    </w:p>
    <w:p>
      <w:r>
        <w:rPr>
          <w:b/>
        </w:rPr>
        <w:t>Before testing:</w:t>
      </w:r>
      <w:r>
        <w:t xml:space="preserve"> the lab chooses distance, sound level and pass tolerances. The paper’s approximately 80 dB sheep level is not automatically the mouse setting. Physical sound checks and later neural synchronization are still pending.</w:t>
      </w:r>
    </w:p>
    <w:p>
      <w:pPr>
        <w:pStyle w:val="Caption"/>
      </w:pPr>
      <w:r>
        <w:t xml:space="preserve">Specifications: </w:t>
      </w:r>
      <w:hyperlink r:id="rId18">
        <w:r>
          <w:rPr>
            <w:color w:val="245B87"/>
            <w:u w:val="single"/>
          </w:rPr>
          <w:t>M50</w:t>
        </w:r>
      </w:hyperlink>
      <w:r>
        <w:t xml:space="preserve">  ·  </w:t>
      </w:r>
      <w:hyperlink r:id="rId19">
        <w:r>
          <w:rPr>
            <w:color w:val="245B87"/>
            <w:u w:val="single"/>
          </w:rPr>
          <w:t>iD14</w:t>
        </w:r>
      </w:hyperlink>
      <w:r>
        <w:t xml:space="preserve">  ·  </w:t>
      </w:r>
      <w:hyperlink r:id="rId20">
        <w:r>
          <w:rPr>
            <w:color w:val="245B87"/>
            <w:u w:val="single"/>
          </w:rPr>
          <w:t>MR3</w:t>
        </w:r>
      </w:hyperlink>
      <w:r>
        <w:t xml:space="preserve">  ·  </w:t>
      </w:r>
      <w:hyperlink r:id="rId21">
        <w:r>
          <w:rPr>
            <w:color w:val="245B87"/>
            <w:u w:val="single"/>
          </w:rPr>
          <w:t>R8090</w:t>
        </w:r>
      </w:hyperlink>
    </w:p>
    <w:p>
      <w:pPr>
        <w:pStyle w:val="Caption"/>
      </w:pPr>
      <w:r>
        <w:t xml:space="preserve">Alternatives: </w:t>
      </w:r>
      <w:hyperlink r:id="rId22">
        <w:r>
          <w:rPr>
            <w:color w:val="245B87"/>
            <w:u w:val="single"/>
          </w:rPr>
          <w:t>UMIK-2</w:t>
        </w:r>
      </w:hyperlink>
      <w:r>
        <w:t xml:space="preserve">  ·  </w:t>
      </w:r>
      <w:hyperlink r:id="rId23">
        <w:r>
          <w:rPr>
            <w:color w:val="245B87"/>
            <w:u w:val="single"/>
          </w:rPr>
          <w:t>M30 G2</w:t>
        </w:r>
      </w:hyperlink>
      <w:r>
        <w:t xml:space="preserve">  ·  </w:t>
      </w:r>
      <w:hyperlink r:id="rId24">
        <w:r>
          <w:rPr>
            <w:color w:val="245B87"/>
            <w:u w:val="single"/>
          </w:rPr>
          <w:t>iD4</w:t>
        </w:r>
      </w:hyperlink>
      <w:r>
        <w:t xml:space="preserve">  ·  </w:t>
      </w:r>
      <w:hyperlink r:id="rId25">
        <w:r>
          <w:rPr>
            <w:color w:val="245B87"/>
            <w:u w:val="single"/>
          </w:rPr>
          <w:t>original MR4</w:t>
        </w:r>
      </w:hyperlink>
      <w:r>
        <w:t xml:space="preserve">  ·  </w:t>
      </w:r>
      <w:hyperlink r:id="rId26">
        <w:r>
          <w:rPr>
            <w:color w:val="245B87"/>
            <w:u w:val="single"/>
          </w:rPr>
          <w:t>MR5</w:t>
        </w:r>
      </w:hyperlink>
      <w:r>
        <w:t xml:space="preserve">  ·  </w:t>
      </w:r>
      <w:hyperlink r:id="rId27">
        <w:r>
          <w:rPr>
            <w:color w:val="245B87"/>
            <w:u w:val="single"/>
          </w:rPr>
          <w:t>Extech 407766</w:t>
        </w:r>
      </w:hyperlink>
    </w:p>
    <w:sectPr w:rsidR="00FC693F" w:rsidRPr="0006063C" w:rsidSect="00034616">
      <w:footerReference w:type="default" r:id="rId9"/>
      <w:pgSz w:w="12240" w:h="15840"/>
      <w:pgMar w:top="936" w:right="936" w:bottom="936" w:left="93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M50 sound setup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bhphotovideo.com/c/product/359562-REG/Earthworks_M50_M50_Measurment_Microphone.html" TargetMode="External"/><Relationship Id="rId11" Type="http://schemas.openxmlformats.org/officeDocument/2006/relationships/hyperlink" Target="https://www.bhphotovideo.com/c/product/1641632-REG/audient_id14_mkii_2_channel_usb2_interface_and.html" TargetMode="External"/><Relationship Id="rId12" Type="http://schemas.openxmlformats.org/officeDocument/2006/relationships/hyperlink" Target="https://us.edifier.com/products/mr3" TargetMode="External"/><Relationship Id="rId13" Type="http://schemas.openxmlformats.org/officeDocument/2006/relationships/hyperlink" Target="https://www.globaltestsupply.com/product/reed-r8090-sound-level-calibrator" TargetMode="External"/><Relationship Id="rId14" Type="http://schemas.openxmlformats.org/officeDocument/2006/relationships/hyperlink" Target="https://www.sweetwater.com/store/detail/HMIC010--hosa-hmic-010-pro-microphone-cable-rean-xlr3f-to-xlr3m-10-ft" TargetMode="External"/><Relationship Id="rId15" Type="http://schemas.openxmlformats.org/officeDocument/2006/relationships/hyperlink" Target="https://www.sweetwater.com/store/detail/HSS005--hosa-hss-005-pro-balanced-interconnect-rean-1-4-in-trs-to-same-5-foot" TargetMode="External"/><Relationship Id="rId16" Type="http://schemas.openxmlformats.org/officeDocument/2006/relationships/hyperlink" Target="https://www.sweetwater.com/store/detail/RIMICTPFBM--rok-it-tripod-microphone-stand-with-fixed-boom" TargetMode="External"/><Relationship Id="rId17" Type="http://schemas.openxmlformats.org/officeDocument/2006/relationships/image" Target="media/image1.png"/><Relationship Id="rId18" Type="http://schemas.openxmlformats.org/officeDocument/2006/relationships/hyperlink" Target="https://earthworksaudio.com/measurement-microphones/m50/" TargetMode="External"/><Relationship Id="rId19" Type="http://schemas.openxmlformats.org/officeDocument/2006/relationships/hyperlink" Target="https://audient.com/products/audio-interfaces/id14/tech-specs/" TargetMode="External"/><Relationship Id="rId20" Type="http://schemas.openxmlformats.org/officeDocument/2006/relationships/hyperlink" Target="https://www.edifier.com/global/p/studio-monitors/mr3" TargetMode="External"/><Relationship Id="rId21" Type="http://schemas.openxmlformats.org/officeDocument/2006/relationships/hyperlink" Target="https://www.reedinstruments.com/pdfs/cache/www.reedinstruments.com/r8090/datasheet/r8090-datasheet.pdf" TargetMode="External"/><Relationship Id="rId22" Type="http://schemas.openxmlformats.org/officeDocument/2006/relationships/hyperlink" Target="https://www.minidsp.com/images/documents/miniDSP%20UMIK-2-User%20Manual.pdf" TargetMode="External"/><Relationship Id="rId23" Type="http://schemas.openxmlformats.org/officeDocument/2006/relationships/hyperlink" Target="https://earthworksaudio.com/wp-content/uploads/2025/11/Earthworks_Audio_M30_G2__11042025-1.pdf" TargetMode="External"/><Relationship Id="rId24" Type="http://schemas.openxmlformats.org/officeDocument/2006/relationships/hyperlink" Target="https://audient.com/products/audio-interfaces/id4/tech-specs/" TargetMode="External"/><Relationship Id="rId25" Type="http://schemas.openxmlformats.org/officeDocument/2006/relationships/hyperlink" Target="https://www.edifier.com/global/p/studio-monitors/mr4" TargetMode="External"/><Relationship Id="rId26" Type="http://schemas.openxmlformats.org/officeDocument/2006/relationships/hyperlink" Target="https://us.edifier.com/products/mr5" TargetMode="External"/><Relationship Id="rId27" Type="http://schemas.openxmlformats.org/officeDocument/2006/relationships/hyperlink" Target="https://prod.extech.com/products/407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M50 auditory sound setup</dc:title>
  <dc:subject>Equipment rationale wiring software calibration and qualification</dc:subject>
  <dc:creator>Howard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