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/>
    <w:p/>
    <w:p/>
    <w:p/>
    <w:p/>
    <w:p>
      <w:pPr>
        <w:jc w:val="center"/>
      </w:pPr>
      <w:r>
        <w:rPr>
          <w:rFonts w:ascii="微软雅黑" w:hAnsi="微软雅黑" w:eastAsia="微软雅黑"/>
          <w:b/>
          <w:color w:val="2563EB"/>
          <w:sz w:val="60"/>
        </w:rPr>
        <w:t>项目管理系统</w:t>
      </w:r>
    </w:p>
    <w:p>
      <w:pPr>
        <w:spacing w:after="560"/>
        <w:jc w:val="center"/>
      </w:pPr>
      <w:r>
        <w:rPr>
          <w:rFonts w:ascii="微软雅黑" w:hAnsi="微软雅黑" w:eastAsia="微软雅黑"/>
          <w:b/>
          <w:color w:val="1F2937"/>
          <w:sz w:val="48"/>
        </w:rPr>
        <w:t>用户操作手册</w:t>
      </w:r>
    </w:p>
    <w:p>
      <w:pPr>
        <w:spacing w:after="840"/>
        <w:jc w:val="center"/>
      </w:pPr>
      <w:r>
        <w:rPr>
          <w:rFonts w:ascii="微软雅黑" w:hAnsi="微软雅黑" w:eastAsia="微软雅黑"/>
          <w:color w:val="64748B"/>
          <w:sz w:val="22"/>
        </w:rPr>
        <w:t>研发项目 · 材料配方 · 试验排产 · 流程审批</w:t>
      </w:r>
    </w:p>
    <w:p>
      <w:pPr>
        <w:spacing w:after="100"/>
        <w:jc w:val="center"/>
      </w:pPr>
      <w:r>
        <w:rPr>
          <w:rFonts w:ascii="微软雅黑" w:hAnsi="微软雅黑" w:eastAsia="微软雅黑"/>
          <w:color w:val="64748B"/>
          <w:sz w:val="20"/>
        </w:rPr>
        <w:t>文档版本：1.1</w:t>
      </w:r>
    </w:p>
    <w:p>
      <w:pPr>
        <w:spacing w:after="100"/>
        <w:jc w:val="center"/>
      </w:pPr>
      <w:r>
        <w:rPr>
          <w:rFonts w:ascii="微软雅黑" w:hAnsi="微软雅黑" w:eastAsia="微软雅黑"/>
          <w:color w:val="64748B"/>
          <w:sz w:val="20"/>
        </w:rPr>
        <w:t>更新日期：2026-09-17</w:t>
      </w:r>
    </w:p>
    <w:p>
      <w:pPr>
        <w:spacing w:after="100"/>
        <w:jc w:val="center"/>
      </w:pPr>
      <w:r>
        <w:rPr>
          <w:rFonts w:ascii="微软雅黑" w:hAnsi="微软雅黑" w:eastAsia="微软雅黑"/>
          <w:color w:val="64748B"/>
          <w:sz w:val="20"/>
        </w:rPr>
        <w:t>适用对象：研发、销售、工艺、试产、配色、注塑、测试、审批及系统管理人员</w:t>
      </w:r>
    </w:p>
    <w:p>
      <w:r>
        <w:br w:type="page"/>
      </w:r>
      <w:bookmarkStart w:id="158" w:name="_GoBack"/>
      <w:bookmarkEnd w:id="158"/>
    </w:p>
    <w:p>
      <w:pPr>
        <w:pStyle w:val="33"/>
      </w:pPr>
      <w:r>
        <w:rPr>
          <w:rFonts w:ascii="微软雅黑" w:hAnsi="微软雅黑" w:eastAsia="微软雅黑"/>
          <w:b/>
          <w:color w:val="1F2937"/>
          <w:sz w:val="48"/>
        </w:rPr>
        <w:t>目录</w:t>
      </w:r>
    </w:p>
    <w:p>
      <w:pPr>
        <w:spacing w:after="240"/>
      </w:pPr>
      <w:r>
        <w:rPr>
          <w:rFonts w:ascii="微软雅黑" w:hAnsi="微软雅黑" w:eastAsia="微软雅黑"/>
          <w:color w:val="64748B"/>
          <w:sz w:val="18"/>
        </w:rPr>
        <w:t>提示：首次打开文档时如目录页码未刷新，请在目录区域右键并选择“更新域”。</w:t>
      </w:r>
    </w:p>
    <w:p>
      <w:pPr>
        <w:pStyle w:val="26"/>
        <w:tabs>
          <w:tab w:val="right" w:leader="dot" w:pos="9411"/>
        </w:tabs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fldChar w:fldCharType="begin"/>
      </w:r>
      <w:r>
        <w:instrText xml:space="preserve"> HYPERLINK \l _Toc19476 </w:instrText>
      </w:r>
      <w:r>
        <w:fldChar w:fldCharType="separate"/>
      </w:r>
      <w:r>
        <w:rPr>
          <w:rFonts w:ascii="微软雅黑" w:hAnsi="微软雅黑" w:eastAsia="微软雅黑"/>
          <w:i w:val="0"/>
        </w:rPr>
        <w:t>1. 手册说明</w:t>
      </w:r>
      <w:r>
        <w:tab/>
      </w:r>
      <w:r>
        <w:fldChar w:fldCharType="begin"/>
      </w:r>
      <w:r>
        <w:instrText xml:space="preserve"> PAGEREF _Toc19476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_Toc10844 </w:instrText>
      </w:r>
      <w:r>
        <w:fldChar w:fldCharType="separate"/>
      </w:r>
      <w:r>
        <w:rPr>
          <w:rFonts w:ascii="微软雅黑" w:hAnsi="微软雅黑" w:eastAsia="微软雅黑"/>
          <w:i w:val="0"/>
        </w:rPr>
        <w:t>1.1 使用约定</w:t>
      </w:r>
      <w:r>
        <w:tab/>
      </w:r>
      <w:r>
        <w:fldChar w:fldCharType="begin"/>
      </w:r>
      <w:r>
        <w:instrText xml:space="preserve"> PAGEREF _Toc10844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>
      <w:pPr>
        <w:pStyle w:val="26"/>
        <w:tabs>
          <w:tab w:val="right" w:leader="dot" w:pos="9411"/>
        </w:tabs>
      </w:pPr>
      <w:r>
        <w:fldChar w:fldCharType="begin"/>
      </w:r>
      <w:r>
        <w:instrText xml:space="preserve"> HYPERLINK \l _Toc21466 </w:instrText>
      </w:r>
      <w:r>
        <w:fldChar w:fldCharType="separate"/>
      </w:r>
      <w:r>
        <w:rPr>
          <w:rFonts w:ascii="微软雅黑" w:hAnsi="微软雅黑" w:eastAsia="微软雅黑"/>
          <w:i w:val="0"/>
        </w:rPr>
        <w:t>2. 模块关联与数据准备</w:t>
      </w:r>
      <w:r>
        <w:tab/>
      </w:r>
      <w:r>
        <w:fldChar w:fldCharType="begin"/>
      </w:r>
      <w:r>
        <w:instrText xml:space="preserve"> PAGEREF _Toc21466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_Toc13780 </w:instrText>
      </w:r>
      <w:r>
        <w:fldChar w:fldCharType="separate"/>
      </w:r>
      <w:r>
        <w:rPr>
          <w:rFonts w:ascii="微软雅黑" w:hAnsi="微软雅黑" w:eastAsia="微软雅黑"/>
          <w:i w:val="0"/>
        </w:rPr>
        <w:t>2.1 关系符号与使用原则</w:t>
      </w:r>
      <w:r>
        <w:tab/>
      </w:r>
      <w:r>
        <w:fldChar w:fldCharType="begin"/>
      </w:r>
      <w:r>
        <w:instrText xml:space="preserve"> PAGEREF _Toc13780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_Toc12858 </w:instrText>
      </w:r>
      <w:r>
        <w:fldChar w:fldCharType="separate"/>
      </w:r>
      <w:r>
        <w:rPr>
          <w:rFonts w:ascii="微软雅黑" w:hAnsi="微软雅黑" w:eastAsia="微软雅黑"/>
          <w:i w:val="0"/>
        </w:rPr>
        <w:t>2.2 模块依赖总览</w:t>
      </w:r>
      <w:r>
        <w:tab/>
      </w:r>
      <w:r>
        <w:fldChar w:fldCharType="begin"/>
      </w:r>
      <w:r>
        <w:instrText xml:space="preserve"> PAGEREF _Toc12858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_Toc23800 </w:instrText>
      </w:r>
      <w:r>
        <w:fldChar w:fldCharType="separate"/>
      </w:r>
      <w:r>
        <w:rPr>
          <w:rFonts w:ascii="微软雅黑" w:hAnsi="微软雅黑" w:eastAsia="微软雅黑"/>
          <w:i w:val="0"/>
        </w:rPr>
        <w:t>2.3 研发与配方数据关系</w:t>
      </w:r>
      <w:r>
        <w:tab/>
      </w:r>
      <w:r>
        <w:fldChar w:fldCharType="begin"/>
      </w:r>
      <w:r>
        <w:instrText xml:space="preserve"> PAGEREF _Toc23800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_Toc10267 </w:instrText>
      </w:r>
      <w:r>
        <w:fldChar w:fldCharType="separate"/>
      </w:r>
      <w:r>
        <w:rPr>
          <w:rFonts w:ascii="微软雅黑" w:hAnsi="微软雅黑" w:eastAsia="微软雅黑"/>
          <w:i w:val="0"/>
        </w:rPr>
        <w:t>2.4 试产执行与质量回写关系</w:t>
      </w:r>
      <w:r>
        <w:tab/>
      </w:r>
      <w:r>
        <w:fldChar w:fldCharType="begin"/>
      </w:r>
      <w:r>
        <w:instrText xml:space="preserve"> PAGEREF _Toc10267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_Toc8973 </w:instrText>
      </w:r>
      <w:r>
        <w:fldChar w:fldCharType="separate"/>
      </w:r>
      <w:r>
        <w:rPr>
          <w:rFonts w:ascii="微软雅黑" w:hAnsi="微软雅黑" w:eastAsia="微软雅黑"/>
          <w:i w:val="0"/>
        </w:rPr>
        <w:t>2.5 成品、项目、配方与排产跨维度关系</w:t>
      </w:r>
      <w:r>
        <w:tab/>
      </w:r>
      <w:r>
        <w:fldChar w:fldCharType="begin"/>
      </w:r>
      <w:r>
        <w:instrText xml:space="preserve"> PAGEREF _Toc8973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_Toc8667 </w:instrText>
      </w:r>
      <w:r>
        <w:fldChar w:fldCharType="separate"/>
      </w:r>
      <w:r>
        <w:rPr>
          <w:rFonts w:ascii="微软雅黑" w:hAnsi="微软雅黑" w:eastAsia="微软雅黑"/>
          <w:i w:val="0"/>
        </w:rPr>
        <w:t>2.6 推荐建数顺序</w:t>
      </w:r>
      <w:r>
        <w:tab/>
      </w:r>
      <w:r>
        <w:fldChar w:fldCharType="begin"/>
      </w:r>
      <w:r>
        <w:instrText xml:space="preserve"> PAGEREF _Toc8667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_Toc2164 </w:instrText>
      </w:r>
      <w:r>
        <w:fldChar w:fldCharType="separate"/>
      </w:r>
      <w:r>
        <w:rPr>
          <w:rFonts w:ascii="微软雅黑" w:hAnsi="微软雅黑" w:eastAsia="微软雅黑"/>
          <w:i w:val="0"/>
        </w:rPr>
        <w:t>2.7 各模块前置数据矩阵</w:t>
      </w:r>
      <w:r>
        <w:tab/>
      </w:r>
      <w:r>
        <w:fldChar w:fldCharType="begin"/>
      </w:r>
      <w:r>
        <w:instrText xml:space="preserve"> PAGEREF _Toc2164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_Toc21962 </w:instrText>
      </w:r>
      <w:r>
        <w:fldChar w:fldCharType="separate"/>
      </w:r>
      <w:r>
        <w:rPr>
          <w:rFonts w:ascii="微软雅黑" w:hAnsi="微软雅黑" w:eastAsia="微软雅黑"/>
          <w:i w:val="0"/>
        </w:rPr>
        <w:t>2.8 常用场景前置检查</w:t>
      </w:r>
      <w:r>
        <w:tab/>
      </w:r>
      <w:r>
        <w:fldChar w:fldCharType="begin"/>
      </w:r>
      <w:r>
        <w:instrText xml:space="preserve"> PAGEREF _Toc21962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_Toc11220 </w:instrText>
      </w:r>
      <w:r>
        <w:fldChar w:fldCharType="separate"/>
      </w:r>
      <w:r>
        <w:rPr>
          <w:rFonts w:ascii="微软雅黑" w:hAnsi="微软雅黑" w:eastAsia="微软雅黑"/>
          <w:i w:val="0"/>
        </w:rPr>
        <w:t>2.9 删除与变更影响</w:t>
      </w:r>
      <w:r>
        <w:tab/>
      </w:r>
      <w:r>
        <w:fldChar w:fldCharType="begin"/>
      </w:r>
      <w:r>
        <w:instrText xml:space="preserve"> PAGEREF _Toc11220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>
      <w:pPr>
        <w:pStyle w:val="26"/>
        <w:tabs>
          <w:tab w:val="right" w:leader="dot" w:pos="9411"/>
        </w:tabs>
      </w:pPr>
      <w:r>
        <w:fldChar w:fldCharType="begin"/>
      </w:r>
      <w:r>
        <w:instrText xml:space="preserve"> HYPERLINK \l _Toc27461 </w:instrText>
      </w:r>
      <w:r>
        <w:fldChar w:fldCharType="separate"/>
      </w:r>
      <w:r>
        <w:rPr>
          <w:rFonts w:ascii="微软雅黑" w:hAnsi="微软雅黑" w:eastAsia="微软雅黑"/>
          <w:i w:val="0"/>
        </w:rPr>
        <w:t>3. 快速开始</w:t>
      </w:r>
      <w:r>
        <w:tab/>
      </w:r>
      <w:r>
        <w:fldChar w:fldCharType="begin"/>
      </w:r>
      <w:r>
        <w:instrText xml:space="preserve"> PAGEREF _Toc27461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_Toc13622 </w:instrText>
      </w:r>
      <w:r>
        <w:fldChar w:fldCharType="separate"/>
      </w:r>
      <w:r>
        <w:rPr>
          <w:rFonts w:ascii="微软雅黑" w:hAnsi="微软雅黑" w:eastAsia="微软雅黑"/>
          <w:i w:val="0"/>
        </w:rPr>
        <w:t>3.1 登录系统</w:t>
      </w:r>
      <w:r>
        <w:tab/>
      </w:r>
      <w:r>
        <w:fldChar w:fldCharType="begin"/>
      </w:r>
      <w:r>
        <w:instrText xml:space="preserve"> PAGEREF _Toc13622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_Toc6086 </w:instrText>
      </w:r>
      <w:r>
        <w:fldChar w:fldCharType="separate"/>
      </w:r>
      <w:r>
        <w:rPr>
          <w:rFonts w:ascii="微软雅黑" w:hAnsi="微软雅黑" w:eastAsia="微软雅黑"/>
          <w:i w:val="0"/>
        </w:rPr>
        <w:t>3.2 注册账号</w:t>
      </w:r>
      <w:r>
        <w:tab/>
      </w:r>
      <w:r>
        <w:fldChar w:fldCharType="begin"/>
      </w:r>
      <w:r>
        <w:instrText xml:space="preserve"> PAGEREF _Toc6086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_Toc25438 </w:instrText>
      </w:r>
      <w:r>
        <w:fldChar w:fldCharType="separate"/>
      </w:r>
      <w:r>
        <w:rPr>
          <w:rFonts w:ascii="微软雅黑" w:hAnsi="微软雅黑" w:eastAsia="微软雅黑"/>
          <w:i w:val="0"/>
        </w:rPr>
        <w:t>3.3 忘记密码</w:t>
      </w:r>
      <w:r>
        <w:tab/>
      </w:r>
      <w:r>
        <w:fldChar w:fldCharType="begin"/>
      </w:r>
      <w:r>
        <w:instrText xml:space="preserve"> PAGEREF _Toc25438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_Toc18797 </w:instrText>
      </w:r>
      <w:r>
        <w:fldChar w:fldCharType="separate"/>
      </w:r>
      <w:r>
        <w:rPr>
          <w:rFonts w:ascii="微软雅黑" w:hAnsi="微软雅黑" w:eastAsia="微软雅黑"/>
          <w:i w:val="0"/>
        </w:rPr>
        <w:t>3.4 首次登录建议</w:t>
      </w:r>
      <w:r>
        <w:tab/>
      </w:r>
      <w:r>
        <w:fldChar w:fldCharType="begin"/>
      </w:r>
      <w:r>
        <w:instrText xml:space="preserve"> PAGEREF _Toc18797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>
      <w:pPr>
        <w:pStyle w:val="26"/>
        <w:tabs>
          <w:tab w:val="right" w:leader="dot" w:pos="9411"/>
        </w:tabs>
      </w:pPr>
      <w:r>
        <w:fldChar w:fldCharType="begin"/>
      </w:r>
      <w:r>
        <w:instrText xml:space="preserve"> HYPERLINK \l _Toc5296 </w:instrText>
      </w:r>
      <w:r>
        <w:fldChar w:fldCharType="separate"/>
      </w:r>
      <w:r>
        <w:rPr>
          <w:rFonts w:ascii="微软雅黑" w:hAnsi="微软雅黑" w:eastAsia="微软雅黑"/>
          <w:i w:val="0"/>
        </w:rPr>
        <w:t>4. 界面与通用操作</w:t>
      </w:r>
      <w:r>
        <w:tab/>
      </w:r>
      <w:r>
        <w:fldChar w:fldCharType="begin"/>
      </w:r>
      <w:r>
        <w:instrText xml:space="preserve"> PAGEREF _Toc5296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_Toc29382 </w:instrText>
      </w:r>
      <w:r>
        <w:fldChar w:fldCharType="separate"/>
      </w:r>
      <w:r>
        <w:rPr>
          <w:rFonts w:ascii="微软雅黑" w:hAnsi="微软雅黑" w:eastAsia="微软雅黑"/>
          <w:i w:val="0"/>
        </w:rPr>
        <w:t>4.1 左侧导航</w:t>
      </w:r>
      <w:r>
        <w:tab/>
      </w:r>
      <w:r>
        <w:fldChar w:fldCharType="begin"/>
      </w:r>
      <w:r>
        <w:instrText xml:space="preserve"> PAGEREF _Toc29382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_Toc12373 </w:instrText>
      </w:r>
      <w:r>
        <w:fldChar w:fldCharType="separate"/>
      </w:r>
      <w:r>
        <w:rPr>
          <w:rFonts w:ascii="微软雅黑" w:hAnsi="微软雅黑" w:eastAsia="微软雅黑"/>
          <w:i w:val="0"/>
        </w:rPr>
        <w:t>4.2 顶部工具栏</w:t>
      </w:r>
      <w:r>
        <w:tab/>
      </w:r>
      <w:r>
        <w:fldChar w:fldCharType="begin"/>
      </w:r>
      <w:r>
        <w:instrText xml:space="preserve"> PAGEREF _Toc12373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_Toc27105 </w:instrText>
      </w:r>
      <w:r>
        <w:fldChar w:fldCharType="separate"/>
      </w:r>
      <w:r>
        <w:rPr>
          <w:rFonts w:ascii="微软雅黑" w:hAnsi="微软雅黑" w:eastAsia="微软雅黑"/>
          <w:i w:val="0"/>
        </w:rPr>
        <w:t>4.3 列表页</w:t>
      </w:r>
      <w:r>
        <w:tab/>
      </w:r>
      <w:r>
        <w:fldChar w:fldCharType="begin"/>
      </w:r>
      <w:r>
        <w:instrText xml:space="preserve"> PAGEREF _Toc27105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_Toc14726 </w:instrText>
      </w:r>
      <w:r>
        <w:fldChar w:fldCharType="separate"/>
      </w:r>
      <w:r>
        <w:rPr>
          <w:rFonts w:ascii="微软雅黑" w:hAnsi="微软雅黑" w:eastAsia="微软雅黑"/>
          <w:i w:val="0"/>
        </w:rPr>
        <w:t>4.4 表单页</w:t>
      </w:r>
      <w:r>
        <w:tab/>
      </w:r>
      <w:r>
        <w:fldChar w:fldCharType="begin"/>
      </w:r>
      <w:r>
        <w:instrText xml:space="preserve"> PAGEREF _Toc14726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_Toc7405 </w:instrText>
      </w:r>
      <w:r>
        <w:fldChar w:fldCharType="separate"/>
      </w:r>
      <w:r>
        <w:rPr>
          <w:rFonts w:ascii="微软雅黑" w:hAnsi="微软雅黑" w:eastAsia="微软雅黑"/>
          <w:i w:val="0"/>
        </w:rPr>
        <w:t>4.5 附件</w:t>
      </w:r>
      <w:r>
        <w:tab/>
      </w:r>
      <w:r>
        <w:fldChar w:fldCharType="begin"/>
      </w:r>
      <w:r>
        <w:instrText xml:space="preserve"> PAGEREF _Toc7405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>
      <w:pPr>
        <w:pStyle w:val="26"/>
        <w:tabs>
          <w:tab w:val="right" w:leader="dot" w:pos="9411"/>
        </w:tabs>
      </w:pPr>
      <w:r>
        <w:fldChar w:fldCharType="begin"/>
      </w:r>
      <w:r>
        <w:instrText xml:space="preserve"> HYPERLINK \l _Toc26145 </w:instrText>
      </w:r>
      <w:r>
        <w:fldChar w:fldCharType="separate"/>
      </w:r>
      <w:r>
        <w:rPr>
          <w:rFonts w:ascii="微软雅黑" w:hAnsi="微软雅黑" w:eastAsia="微软雅黑"/>
          <w:i w:val="0"/>
        </w:rPr>
        <w:t>5. 权限与数据范围</w:t>
      </w:r>
      <w:r>
        <w:tab/>
      </w:r>
      <w:r>
        <w:fldChar w:fldCharType="begin"/>
      </w:r>
      <w:r>
        <w:instrText xml:space="preserve"> PAGEREF _Toc26145 \h </w:instrText>
      </w:r>
      <w:r>
        <w:fldChar w:fldCharType="separate"/>
      </w:r>
      <w:r>
        <w:t>22</w:t>
      </w:r>
      <w:r>
        <w:fldChar w:fldCharType="end"/>
      </w:r>
      <w:r>
        <w:fldChar w:fldCharType="end"/>
      </w:r>
    </w:p>
    <w:p>
      <w:pPr>
        <w:pStyle w:val="26"/>
        <w:tabs>
          <w:tab w:val="right" w:leader="dot" w:pos="9411"/>
        </w:tabs>
      </w:pPr>
      <w:r>
        <w:fldChar w:fldCharType="begin"/>
      </w:r>
      <w:r>
        <w:instrText xml:space="preserve"> HYPERLINK \l _Toc12541 </w:instrText>
      </w:r>
      <w:r>
        <w:fldChar w:fldCharType="separate"/>
      </w:r>
      <w:r>
        <w:rPr>
          <w:rFonts w:ascii="微软雅黑" w:hAnsi="微软雅黑" w:eastAsia="微软雅黑"/>
          <w:i w:val="0"/>
        </w:rPr>
        <w:t>6. 推荐业务流程</w:t>
      </w:r>
      <w:r>
        <w:tab/>
      </w:r>
      <w:r>
        <w:fldChar w:fldCharType="begin"/>
      </w:r>
      <w:r>
        <w:instrText xml:space="preserve"> PAGEREF _Toc12541 \h 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_Toc6899 </w:instrText>
      </w:r>
      <w:r>
        <w:fldChar w:fldCharType="separate"/>
      </w:r>
      <w:r>
        <w:rPr>
          <w:rFonts w:ascii="微软雅黑" w:hAnsi="微软雅黑" w:eastAsia="微软雅黑"/>
          <w:i w:val="0"/>
        </w:rPr>
        <w:t>6.1 新产品研发主流程</w:t>
      </w:r>
      <w:r>
        <w:tab/>
      </w:r>
      <w:r>
        <w:fldChar w:fldCharType="begin"/>
      </w:r>
      <w:r>
        <w:instrText xml:space="preserve"> PAGEREF _Toc6899 \h 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_Toc927 </w:instrText>
      </w:r>
      <w:r>
        <w:fldChar w:fldCharType="separate"/>
      </w:r>
      <w:r>
        <w:rPr>
          <w:rFonts w:ascii="微软雅黑" w:hAnsi="微软雅黑" w:eastAsia="微软雅黑"/>
          <w:i w:val="0"/>
        </w:rPr>
        <w:t>6.2 客户竞品流程</w:t>
      </w:r>
      <w:r>
        <w:tab/>
      </w:r>
      <w:r>
        <w:fldChar w:fldCharType="begin"/>
      </w:r>
      <w:r>
        <w:instrText xml:space="preserve"> PAGEREF _Toc927 \h 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_Toc870 </w:instrText>
      </w:r>
      <w:r>
        <w:fldChar w:fldCharType="separate"/>
      </w:r>
      <w:r>
        <w:rPr>
          <w:rFonts w:ascii="微软雅黑" w:hAnsi="微软雅黑" w:eastAsia="微软雅黑"/>
          <w:i w:val="0"/>
        </w:rPr>
        <w:t>6.3 操作原则</w:t>
      </w:r>
      <w:r>
        <w:tab/>
      </w:r>
      <w:r>
        <w:fldChar w:fldCharType="begin"/>
      </w:r>
      <w:r>
        <w:instrText xml:space="preserve"> PAGEREF _Toc870 \h 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>
      <w:pPr>
        <w:pStyle w:val="26"/>
        <w:tabs>
          <w:tab w:val="right" w:leader="dot" w:pos="9411"/>
        </w:tabs>
      </w:pPr>
      <w:r>
        <w:fldChar w:fldCharType="begin"/>
      </w:r>
      <w:r>
        <w:instrText xml:space="preserve"> HYPERLINK \l _Toc3682 </w:instrText>
      </w:r>
      <w:r>
        <w:fldChar w:fldCharType="separate"/>
      </w:r>
      <w:r>
        <w:rPr>
          <w:rFonts w:ascii="微软雅黑" w:hAnsi="微软雅黑" w:eastAsia="微软雅黑"/>
          <w:i w:val="0"/>
        </w:rPr>
        <w:t>7. 看板工作台</w:t>
      </w:r>
      <w:r>
        <w:tab/>
      </w:r>
      <w:r>
        <w:fldChar w:fldCharType="begin"/>
      </w:r>
      <w:r>
        <w:instrText xml:space="preserve"> PAGEREF _Toc3682 \h </w:instrText>
      </w:r>
      <w:r>
        <w:fldChar w:fldCharType="separate"/>
      </w:r>
      <w:r>
        <w:t>24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_Toc26473 </w:instrText>
      </w:r>
      <w:r>
        <w:fldChar w:fldCharType="separate"/>
      </w:r>
      <w:r>
        <w:rPr>
          <w:rFonts w:ascii="微软雅黑" w:hAnsi="微软雅黑" w:eastAsia="微软雅黑"/>
          <w:i w:val="0"/>
        </w:rPr>
        <w:t>7.1 首页</w:t>
      </w:r>
      <w:r>
        <w:tab/>
      </w:r>
      <w:r>
        <w:fldChar w:fldCharType="begin"/>
      </w:r>
      <w:r>
        <w:instrText xml:space="preserve"> PAGEREF _Toc26473 \h </w:instrText>
      </w:r>
      <w:r>
        <w:fldChar w:fldCharType="separate"/>
      </w:r>
      <w:r>
        <w:t>24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_Toc25490 </w:instrText>
      </w:r>
      <w:r>
        <w:fldChar w:fldCharType="separate"/>
      </w:r>
      <w:r>
        <w:rPr>
          <w:rFonts w:ascii="微软雅黑" w:hAnsi="微软雅黑" w:eastAsia="微软雅黑"/>
          <w:i w:val="0"/>
        </w:rPr>
        <w:t>7.2 个人工作台</w:t>
      </w:r>
      <w:r>
        <w:tab/>
      </w:r>
      <w:r>
        <w:fldChar w:fldCharType="begin"/>
      </w:r>
      <w:r>
        <w:instrText xml:space="preserve"> PAGEREF _Toc25490 \h </w:instrText>
      </w:r>
      <w:r>
        <w:fldChar w:fldCharType="separate"/>
      </w:r>
      <w:r>
        <w:t>24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_Toc14797 </w:instrText>
      </w:r>
      <w:r>
        <w:fldChar w:fldCharType="separate"/>
      </w:r>
      <w:r>
        <w:rPr>
          <w:rFonts w:ascii="微软雅黑" w:hAnsi="微软雅黑" w:eastAsia="微软雅黑"/>
          <w:i w:val="0"/>
        </w:rPr>
        <w:t>7.3 系统总览</w:t>
      </w:r>
      <w:r>
        <w:tab/>
      </w:r>
      <w:r>
        <w:fldChar w:fldCharType="begin"/>
      </w:r>
      <w:r>
        <w:instrText xml:space="preserve"> PAGEREF _Toc14797 \h </w:instrText>
      </w:r>
      <w:r>
        <w:fldChar w:fldCharType="separate"/>
      </w:r>
      <w:r>
        <w:t>24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_Toc30116 </w:instrText>
      </w:r>
      <w:r>
        <w:fldChar w:fldCharType="separate"/>
      </w:r>
      <w:r>
        <w:rPr>
          <w:rFonts w:ascii="微软雅黑" w:hAnsi="微软雅黑" w:eastAsia="微软雅黑"/>
          <w:i w:val="0"/>
        </w:rPr>
        <w:t>7.4 项目看板</w:t>
      </w:r>
      <w:r>
        <w:tab/>
      </w:r>
      <w:r>
        <w:fldChar w:fldCharType="begin"/>
      </w:r>
      <w:r>
        <w:instrText xml:space="preserve"> PAGEREF _Toc30116 \h </w:instrText>
      </w:r>
      <w:r>
        <w:fldChar w:fldCharType="separate"/>
      </w:r>
      <w:r>
        <w:t>24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_Toc27255 </w:instrText>
      </w:r>
      <w:r>
        <w:fldChar w:fldCharType="separate"/>
      </w:r>
      <w:r>
        <w:rPr>
          <w:rFonts w:ascii="微软雅黑" w:hAnsi="微软雅黑" w:eastAsia="微软雅黑"/>
          <w:i w:val="0"/>
        </w:rPr>
        <w:t>7.5 客户行为分析</w:t>
      </w:r>
      <w:r>
        <w:tab/>
      </w:r>
      <w:r>
        <w:fldChar w:fldCharType="begin"/>
      </w:r>
      <w:r>
        <w:instrText xml:space="preserve"> PAGEREF _Toc27255 \h </w:instrText>
      </w:r>
      <w:r>
        <w:fldChar w:fldCharType="separate"/>
      </w:r>
      <w:r>
        <w:t>25</w:t>
      </w:r>
      <w:r>
        <w:fldChar w:fldCharType="end"/>
      </w:r>
      <w:r>
        <w:fldChar w:fldCharType="end"/>
      </w:r>
    </w:p>
    <w:p>
      <w:pPr>
        <w:pStyle w:val="26"/>
        <w:tabs>
          <w:tab w:val="right" w:leader="dot" w:pos="9411"/>
        </w:tabs>
      </w:pPr>
      <w:r>
        <w:fldChar w:fldCharType="begin"/>
      </w:r>
      <w:r>
        <w:instrText xml:space="preserve"> HYPERLINK \l _Toc10024 </w:instrText>
      </w:r>
      <w:r>
        <w:fldChar w:fldCharType="separate"/>
      </w:r>
      <w:r>
        <w:rPr>
          <w:rFonts w:ascii="微软雅黑" w:hAnsi="微软雅黑" w:eastAsia="微软雅黑"/>
          <w:i w:val="0"/>
        </w:rPr>
        <w:t>8. 项目管理中心</w:t>
      </w:r>
      <w:r>
        <w:tab/>
      </w:r>
      <w:r>
        <w:fldChar w:fldCharType="begin"/>
      </w:r>
      <w:r>
        <w:instrText xml:space="preserve"> PAGEREF _Toc10024 \h </w:instrText>
      </w:r>
      <w:r>
        <w:fldChar w:fldCharType="separate"/>
      </w:r>
      <w:r>
        <w:t>25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_Toc8968 </w:instrText>
      </w:r>
      <w:r>
        <w:fldChar w:fldCharType="separate"/>
      </w:r>
      <w:r>
        <w:rPr>
          <w:rFonts w:ascii="微软雅黑" w:hAnsi="微软雅黑" w:eastAsia="微软雅黑"/>
          <w:i w:val="0"/>
        </w:rPr>
        <w:t>8.1 项目列表</w:t>
      </w:r>
      <w:r>
        <w:tab/>
      </w:r>
      <w:r>
        <w:fldChar w:fldCharType="begin"/>
      </w:r>
      <w:r>
        <w:instrText xml:space="preserve"> PAGEREF _Toc8968 \h </w:instrText>
      </w:r>
      <w:r>
        <w:fldChar w:fldCharType="separate"/>
      </w:r>
      <w:r>
        <w:t>25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_Toc20291 </w:instrText>
      </w:r>
      <w:r>
        <w:fldChar w:fldCharType="separate"/>
      </w:r>
      <w:r>
        <w:rPr>
          <w:rFonts w:ascii="微软雅黑" w:hAnsi="微软雅黑" w:eastAsia="微软雅黑"/>
          <w:i w:val="0"/>
        </w:rPr>
        <w:t>8.2 创建项目</w:t>
      </w:r>
      <w:r>
        <w:tab/>
      </w:r>
      <w:r>
        <w:fldChar w:fldCharType="begin"/>
      </w:r>
      <w:r>
        <w:instrText xml:space="preserve"> PAGEREF _Toc20291 \h </w:instrText>
      </w:r>
      <w:r>
        <w:fldChar w:fldCharType="separate"/>
      </w:r>
      <w:r>
        <w:t>25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_Toc2544 </w:instrText>
      </w:r>
      <w:r>
        <w:fldChar w:fldCharType="separate"/>
      </w:r>
      <w:r>
        <w:rPr>
          <w:rFonts w:ascii="微软雅黑" w:hAnsi="微软雅黑" w:eastAsia="微软雅黑"/>
          <w:i w:val="0"/>
        </w:rPr>
        <w:t>8.3 项目阶段</w:t>
      </w:r>
      <w:r>
        <w:tab/>
      </w:r>
      <w:r>
        <w:fldChar w:fldCharType="begin"/>
      </w:r>
      <w:r>
        <w:instrText xml:space="preserve"> PAGEREF _Toc2544 \h </w:instrText>
      </w:r>
      <w:r>
        <w:fldChar w:fldCharType="separate"/>
      </w:r>
      <w:r>
        <w:t>25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_Toc32508 </w:instrText>
      </w:r>
      <w:r>
        <w:fldChar w:fldCharType="separate"/>
      </w:r>
      <w:r>
        <w:rPr>
          <w:rFonts w:ascii="微软雅黑" w:hAnsi="微软雅黑" w:eastAsia="微软雅黑"/>
          <w:i w:val="0"/>
        </w:rPr>
        <w:t>8.4 更新节点</w:t>
      </w:r>
      <w:r>
        <w:tab/>
      </w:r>
      <w:r>
        <w:fldChar w:fldCharType="begin"/>
      </w:r>
      <w:r>
        <w:instrText xml:space="preserve"> PAGEREF _Toc32508 \h </w:instrText>
      </w:r>
      <w:r>
        <w:fldChar w:fldCharType="separate"/>
      </w:r>
      <w:r>
        <w:t>26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_Toc18192 </w:instrText>
      </w:r>
      <w:r>
        <w:fldChar w:fldCharType="separate"/>
      </w:r>
      <w:r>
        <w:rPr>
          <w:rFonts w:ascii="微软雅黑" w:hAnsi="微软雅黑" w:eastAsia="微软雅黑"/>
          <w:i w:val="0"/>
        </w:rPr>
        <w:t>8.5 异常与迭代</w:t>
      </w:r>
      <w:r>
        <w:tab/>
      </w:r>
      <w:r>
        <w:fldChar w:fldCharType="begin"/>
      </w:r>
      <w:r>
        <w:instrText xml:space="preserve"> PAGEREF _Toc18192 \h </w:instrText>
      </w:r>
      <w:r>
        <w:fldChar w:fldCharType="separate"/>
      </w:r>
      <w:r>
        <w:t>26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_Toc30173 </w:instrText>
      </w:r>
      <w:r>
        <w:fldChar w:fldCharType="separate"/>
      </w:r>
      <w:r>
        <w:rPr>
          <w:rFonts w:ascii="微软雅黑" w:hAnsi="微软雅黑" w:eastAsia="微软雅黑"/>
          <w:i w:val="0"/>
        </w:rPr>
        <w:t>8.6 客户意见与项目终止</w:t>
      </w:r>
      <w:r>
        <w:tab/>
      </w:r>
      <w:r>
        <w:fldChar w:fldCharType="begin"/>
      </w:r>
      <w:r>
        <w:instrText xml:space="preserve"> PAGEREF _Toc30173 \h </w:instrText>
      </w:r>
      <w:r>
        <w:fldChar w:fldCharType="separate"/>
      </w:r>
      <w:r>
        <w:t>26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_Toc7754 </w:instrText>
      </w:r>
      <w:r>
        <w:fldChar w:fldCharType="separate"/>
      </w:r>
      <w:r>
        <w:rPr>
          <w:rFonts w:ascii="微软雅黑" w:hAnsi="微软雅黑" w:eastAsia="微软雅黑"/>
          <w:i w:val="0"/>
        </w:rPr>
        <w:t>8.7 项目信息编辑审批</w:t>
      </w:r>
      <w:r>
        <w:tab/>
      </w:r>
      <w:r>
        <w:fldChar w:fldCharType="begin"/>
      </w:r>
      <w:r>
        <w:instrText xml:space="preserve"> PAGEREF _Toc7754 \h </w:instrText>
      </w:r>
      <w:r>
        <w:fldChar w:fldCharType="separate"/>
      </w:r>
      <w:r>
        <w:t>27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_Toc26810 </w:instrText>
      </w:r>
      <w:r>
        <w:fldChar w:fldCharType="separate"/>
      </w:r>
      <w:r>
        <w:rPr>
          <w:rFonts w:ascii="微软雅黑" w:hAnsi="微软雅黑" w:eastAsia="微软雅黑"/>
          <w:i w:val="0"/>
        </w:rPr>
        <w:t>8.8 项目成员</w:t>
      </w:r>
      <w:r>
        <w:tab/>
      </w:r>
      <w:r>
        <w:fldChar w:fldCharType="begin"/>
      </w:r>
      <w:r>
        <w:instrText xml:space="preserve"> PAGEREF _Toc26810 \h </w:instrText>
      </w:r>
      <w:r>
        <w:fldChar w:fldCharType="separate"/>
      </w:r>
      <w:r>
        <w:t>27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_Toc22449 </w:instrText>
      </w:r>
      <w:r>
        <w:fldChar w:fldCharType="separate"/>
      </w:r>
      <w:r>
        <w:rPr>
          <w:rFonts w:ascii="微软雅黑" w:hAnsi="微软雅黑" w:eastAsia="微软雅黑"/>
          <w:i w:val="0"/>
        </w:rPr>
        <w:t>8.9 项目配方过程</w:t>
      </w:r>
      <w:r>
        <w:tab/>
      </w:r>
      <w:r>
        <w:fldChar w:fldCharType="begin"/>
      </w:r>
      <w:r>
        <w:instrText xml:space="preserve"> PAGEREF _Toc22449 \h </w:instrText>
      </w:r>
      <w:r>
        <w:fldChar w:fldCharType="separate"/>
      </w:r>
      <w:r>
        <w:t>27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_Toc5025 </w:instrText>
      </w:r>
      <w:r>
        <w:fldChar w:fldCharType="separate"/>
      </w:r>
      <w:r>
        <w:rPr>
          <w:rFonts w:ascii="微软雅黑" w:hAnsi="微软雅黑" w:eastAsia="微软雅黑"/>
          <w:i w:val="0"/>
        </w:rPr>
        <w:t>8.10 项目表单与报告</w:t>
      </w:r>
      <w:r>
        <w:tab/>
      </w:r>
      <w:r>
        <w:fldChar w:fldCharType="begin"/>
      </w:r>
      <w:r>
        <w:instrText xml:space="preserve"> PAGEREF _Toc5025 \h </w:instrText>
      </w:r>
      <w:r>
        <w:fldChar w:fldCharType="separate"/>
      </w:r>
      <w:r>
        <w:t>28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_Toc10820 </w:instrText>
      </w:r>
      <w:r>
        <w:fldChar w:fldCharType="separate"/>
      </w:r>
      <w:r>
        <w:rPr>
          <w:rFonts w:ascii="微软雅黑" w:hAnsi="微软雅黑" w:eastAsia="微软雅黑"/>
          <w:i w:val="0"/>
        </w:rPr>
        <w:t>8.11 项目绩效</w:t>
      </w:r>
      <w:r>
        <w:tab/>
      </w:r>
      <w:r>
        <w:fldChar w:fldCharType="begin"/>
      </w:r>
      <w:r>
        <w:instrText xml:space="preserve"> PAGEREF _Toc10820 \h </w:instrText>
      </w:r>
      <w:r>
        <w:fldChar w:fldCharType="separate"/>
      </w:r>
      <w:r>
        <w:t>28</w:t>
      </w:r>
      <w:r>
        <w:fldChar w:fldCharType="end"/>
      </w:r>
      <w:r>
        <w:fldChar w:fldCharType="end"/>
      </w:r>
    </w:p>
    <w:p>
      <w:pPr>
        <w:pStyle w:val="26"/>
        <w:tabs>
          <w:tab w:val="right" w:leader="dot" w:pos="9411"/>
        </w:tabs>
      </w:pPr>
      <w:r>
        <w:fldChar w:fldCharType="begin"/>
      </w:r>
      <w:r>
        <w:instrText xml:space="preserve"> HYPERLINK \l _Toc6197 </w:instrText>
      </w:r>
      <w:r>
        <w:fldChar w:fldCharType="separate"/>
      </w:r>
      <w:r>
        <w:rPr>
          <w:rFonts w:ascii="微软雅黑" w:hAnsi="微软雅黑" w:eastAsia="微软雅黑"/>
          <w:i w:val="0"/>
        </w:rPr>
        <w:t>9. 客户档案中心</w:t>
      </w:r>
      <w:r>
        <w:tab/>
      </w:r>
      <w:r>
        <w:fldChar w:fldCharType="begin"/>
      </w:r>
      <w:r>
        <w:instrText xml:space="preserve"> PAGEREF _Toc6197 \h </w:instrText>
      </w:r>
      <w:r>
        <w:fldChar w:fldCharType="separate"/>
      </w:r>
      <w:r>
        <w:t>28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_Toc17737 </w:instrText>
      </w:r>
      <w:r>
        <w:fldChar w:fldCharType="separate"/>
      </w:r>
      <w:r>
        <w:rPr>
          <w:rFonts w:ascii="微软雅黑" w:hAnsi="微软雅黑" w:eastAsia="微软雅黑"/>
          <w:i w:val="0"/>
        </w:rPr>
        <w:t>9.1 客户资料库</w:t>
      </w:r>
      <w:r>
        <w:tab/>
      </w:r>
      <w:r>
        <w:fldChar w:fldCharType="begin"/>
      </w:r>
      <w:r>
        <w:instrText xml:space="preserve"> PAGEREF _Toc17737 \h </w:instrText>
      </w:r>
      <w:r>
        <w:fldChar w:fldCharType="separate"/>
      </w:r>
      <w:r>
        <w:t>28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_Toc29703 </w:instrText>
      </w:r>
      <w:r>
        <w:fldChar w:fldCharType="separate"/>
      </w:r>
      <w:r>
        <w:rPr>
          <w:rFonts w:ascii="微软雅黑" w:hAnsi="微软雅黑" w:eastAsia="微软雅黑"/>
          <w:i w:val="0"/>
        </w:rPr>
        <w:t>9.2 客户评分排行</w:t>
      </w:r>
      <w:r>
        <w:tab/>
      </w:r>
      <w:r>
        <w:fldChar w:fldCharType="begin"/>
      </w:r>
      <w:r>
        <w:instrText xml:space="preserve"> PAGEREF _Toc29703 \h </w:instrText>
      </w:r>
      <w:r>
        <w:fldChar w:fldCharType="separate"/>
      </w:r>
      <w:r>
        <w:t>29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_Toc13771 </w:instrText>
      </w:r>
      <w:r>
        <w:fldChar w:fldCharType="separate"/>
      </w:r>
      <w:r>
        <w:rPr>
          <w:rFonts w:ascii="微软雅黑" w:hAnsi="微软雅黑" w:eastAsia="微软雅黑"/>
          <w:i w:val="0"/>
        </w:rPr>
        <w:t>9.3 主机厂（OEM）库</w:t>
      </w:r>
      <w:r>
        <w:tab/>
      </w:r>
      <w:r>
        <w:fldChar w:fldCharType="begin"/>
      </w:r>
      <w:r>
        <w:instrText xml:space="preserve"> PAGEREF _Toc13771 \h </w:instrText>
      </w:r>
      <w:r>
        <w:fldChar w:fldCharType="separate"/>
      </w:r>
      <w:r>
        <w:t>29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_Toc30387 </w:instrText>
      </w:r>
      <w:r>
        <w:fldChar w:fldCharType="separate"/>
      </w:r>
      <w:r>
        <w:rPr>
          <w:rFonts w:ascii="微软雅黑" w:hAnsi="微软雅黑" w:eastAsia="微软雅黑"/>
          <w:i w:val="0"/>
        </w:rPr>
        <w:t>9.4 项目档案</w:t>
      </w:r>
      <w:r>
        <w:tab/>
      </w:r>
      <w:r>
        <w:fldChar w:fldCharType="begin"/>
      </w:r>
      <w:r>
        <w:instrText xml:space="preserve"> PAGEREF _Toc30387 \h </w:instrText>
      </w:r>
      <w:r>
        <w:fldChar w:fldCharType="separate"/>
      </w:r>
      <w:r>
        <w:t>29</w:t>
      </w:r>
      <w:r>
        <w:fldChar w:fldCharType="end"/>
      </w:r>
      <w:r>
        <w:fldChar w:fldCharType="end"/>
      </w:r>
    </w:p>
    <w:p>
      <w:pPr>
        <w:pStyle w:val="26"/>
        <w:tabs>
          <w:tab w:val="right" w:leader="dot" w:pos="9411"/>
        </w:tabs>
      </w:pPr>
      <w:r>
        <w:fldChar w:fldCharType="begin"/>
      </w:r>
      <w:r>
        <w:instrText xml:space="preserve"> HYPERLINK \l _Toc4301 </w:instrText>
      </w:r>
      <w:r>
        <w:fldChar w:fldCharType="separate"/>
      </w:r>
      <w:r>
        <w:rPr>
          <w:rFonts w:ascii="微软雅黑" w:hAnsi="微软雅黑" w:eastAsia="微软雅黑"/>
          <w:i w:val="0"/>
        </w:rPr>
        <w:t>10. 基础预研中心</w:t>
      </w:r>
      <w:r>
        <w:tab/>
      </w:r>
      <w:r>
        <w:fldChar w:fldCharType="begin"/>
      </w:r>
      <w:r>
        <w:instrText xml:space="preserve"> PAGEREF _Toc4301 \h </w:instrText>
      </w:r>
      <w:r>
        <w:fldChar w:fldCharType="separate"/>
      </w:r>
      <w:r>
        <w:t>29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_Toc7614 </w:instrText>
      </w:r>
      <w:r>
        <w:fldChar w:fldCharType="separate"/>
      </w:r>
      <w:r>
        <w:rPr>
          <w:rFonts w:ascii="微软雅黑" w:hAnsi="微软雅黑" w:eastAsia="微软雅黑"/>
          <w:i w:val="0"/>
        </w:rPr>
        <w:t>10.1 创建预研项目</w:t>
      </w:r>
      <w:r>
        <w:tab/>
      </w:r>
      <w:r>
        <w:fldChar w:fldCharType="begin"/>
      </w:r>
      <w:r>
        <w:instrText xml:space="preserve"> PAGEREF _Toc7614 \h </w:instrText>
      </w:r>
      <w:r>
        <w:fldChar w:fldCharType="separate"/>
      </w:r>
      <w:r>
        <w:t>29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_Toc20511 </w:instrText>
      </w:r>
      <w:r>
        <w:fldChar w:fldCharType="separate"/>
      </w:r>
      <w:r>
        <w:rPr>
          <w:rFonts w:ascii="微软雅黑" w:hAnsi="微软雅黑" w:eastAsia="微软雅黑"/>
          <w:i w:val="0"/>
        </w:rPr>
        <w:t>10.2 推进预研节点</w:t>
      </w:r>
      <w:r>
        <w:tab/>
      </w:r>
      <w:r>
        <w:fldChar w:fldCharType="begin"/>
      </w:r>
      <w:r>
        <w:instrText xml:space="preserve"> PAGEREF _Toc20511 \h </w:instrText>
      </w:r>
      <w:r>
        <w:fldChar w:fldCharType="separate"/>
      </w:r>
      <w:r>
        <w:t>30</w:t>
      </w:r>
      <w:r>
        <w:fldChar w:fldCharType="end"/>
      </w:r>
      <w:r>
        <w:fldChar w:fldCharType="end"/>
      </w:r>
    </w:p>
    <w:p>
      <w:pPr>
        <w:pStyle w:val="26"/>
        <w:tabs>
          <w:tab w:val="right" w:leader="dot" w:pos="9411"/>
        </w:tabs>
      </w:pPr>
      <w:r>
        <w:fldChar w:fldCharType="begin"/>
      </w:r>
      <w:r>
        <w:instrText xml:space="preserve"> HYPERLINK \l _Toc11403 </w:instrText>
      </w:r>
      <w:r>
        <w:fldChar w:fldCharType="separate"/>
      </w:r>
      <w:r>
        <w:rPr>
          <w:rFonts w:ascii="微软雅黑" w:hAnsi="微软雅黑" w:eastAsia="微软雅黑"/>
          <w:i w:val="0"/>
        </w:rPr>
        <w:t>11. 材料成品库</w:t>
      </w:r>
      <w:r>
        <w:tab/>
      </w:r>
      <w:r>
        <w:fldChar w:fldCharType="begin"/>
      </w:r>
      <w:r>
        <w:instrText xml:space="preserve"> PAGEREF _Toc11403 \h </w:instrText>
      </w:r>
      <w:r>
        <w:fldChar w:fldCharType="separate"/>
      </w:r>
      <w:r>
        <w:t>30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_Toc32524 </w:instrText>
      </w:r>
      <w:r>
        <w:fldChar w:fldCharType="separate"/>
      </w:r>
      <w:r>
        <w:rPr>
          <w:rFonts w:ascii="微软雅黑" w:hAnsi="微软雅黑" w:eastAsia="微软雅黑"/>
          <w:i w:val="0"/>
        </w:rPr>
        <w:t>11.1 成品材料列表</w:t>
      </w:r>
      <w:r>
        <w:tab/>
      </w:r>
      <w:r>
        <w:fldChar w:fldCharType="begin"/>
      </w:r>
      <w:r>
        <w:instrText xml:space="preserve"> PAGEREF _Toc32524 \h </w:instrText>
      </w:r>
      <w:r>
        <w:fldChar w:fldCharType="separate"/>
      </w:r>
      <w:r>
        <w:t>30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_Toc18662 </w:instrText>
      </w:r>
      <w:r>
        <w:fldChar w:fldCharType="separate"/>
      </w:r>
      <w:r>
        <w:rPr>
          <w:rFonts w:ascii="微软雅黑" w:hAnsi="微软雅黑" w:eastAsia="微软雅黑"/>
          <w:i w:val="0"/>
        </w:rPr>
        <w:t>11.2 新增材料</w:t>
      </w:r>
      <w:r>
        <w:tab/>
      </w:r>
      <w:r>
        <w:fldChar w:fldCharType="begin"/>
      </w:r>
      <w:r>
        <w:instrText xml:space="preserve"> PAGEREF _Toc18662 \h </w:instrText>
      </w:r>
      <w:r>
        <w:fldChar w:fldCharType="separate"/>
      </w:r>
      <w:r>
        <w:t>30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_Toc32050 </w:instrText>
      </w:r>
      <w:r>
        <w:fldChar w:fldCharType="separate"/>
      </w:r>
      <w:r>
        <w:rPr>
          <w:rFonts w:ascii="微软雅黑" w:hAnsi="微软雅黑" w:eastAsia="微软雅黑"/>
          <w:i w:val="0"/>
        </w:rPr>
        <w:t>11.3 导入已有材料数据</w:t>
      </w:r>
      <w:r>
        <w:tab/>
      </w:r>
      <w:r>
        <w:fldChar w:fldCharType="begin"/>
      </w:r>
      <w:r>
        <w:instrText xml:space="preserve"> PAGEREF _Toc32050 \h </w:instrText>
      </w:r>
      <w:r>
        <w:fldChar w:fldCharType="separate"/>
      </w:r>
      <w:r>
        <w:t>31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_Toc26867 </w:instrText>
      </w:r>
      <w:r>
        <w:fldChar w:fldCharType="separate"/>
      </w:r>
      <w:r>
        <w:rPr>
          <w:rFonts w:ascii="微软雅黑" w:hAnsi="微软雅黑" w:eastAsia="微软雅黑"/>
          <w:i w:val="0"/>
        </w:rPr>
        <w:t>11.4 发布与下架</w:t>
      </w:r>
      <w:r>
        <w:tab/>
      </w:r>
      <w:r>
        <w:fldChar w:fldCharType="begin"/>
      </w:r>
      <w:r>
        <w:instrText xml:space="preserve"> PAGEREF _Toc26867 \h </w:instrText>
      </w:r>
      <w:r>
        <w:fldChar w:fldCharType="separate"/>
      </w:r>
      <w:r>
        <w:t>31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_Toc4408 </w:instrText>
      </w:r>
      <w:r>
        <w:fldChar w:fldCharType="separate"/>
      </w:r>
      <w:r>
        <w:rPr>
          <w:rFonts w:ascii="微软雅黑" w:hAnsi="微软雅黑" w:eastAsia="微软雅黑"/>
          <w:i w:val="0"/>
        </w:rPr>
        <w:t>11.5 导出 TDS</w:t>
      </w:r>
      <w:r>
        <w:tab/>
      </w:r>
      <w:r>
        <w:fldChar w:fldCharType="begin"/>
      </w:r>
      <w:r>
        <w:instrText xml:space="preserve"> PAGEREF _Toc4408 \h </w:instrText>
      </w:r>
      <w:r>
        <w:fldChar w:fldCharType="separate"/>
      </w:r>
      <w:r>
        <w:t>31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_Toc1408 </w:instrText>
      </w:r>
      <w:r>
        <w:fldChar w:fldCharType="separate"/>
      </w:r>
      <w:r>
        <w:rPr>
          <w:rFonts w:ascii="微软雅黑" w:hAnsi="微软雅黑" w:eastAsia="微软雅黑"/>
          <w:i w:val="0"/>
        </w:rPr>
        <w:t>11.6 基础分类配置</w:t>
      </w:r>
      <w:r>
        <w:tab/>
      </w:r>
      <w:r>
        <w:fldChar w:fldCharType="begin"/>
      </w:r>
      <w:r>
        <w:instrText xml:space="preserve"> PAGEREF _Toc1408 \h </w:instrText>
      </w:r>
      <w:r>
        <w:fldChar w:fldCharType="separate"/>
      </w:r>
      <w:r>
        <w:t>32</w:t>
      </w:r>
      <w:r>
        <w:fldChar w:fldCharType="end"/>
      </w:r>
      <w:r>
        <w:fldChar w:fldCharType="end"/>
      </w:r>
    </w:p>
    <w:p>
      <w:pPr>
        <w:pStyle w:val="26"/>
        <w:tabs>
          <w:tab w:val="right" w:leader="dot" w:pos="9411"/>
        </w:tabs>
      </w:pPr>
      <w:r>
        <w:fldChar w:fldCharType="begin"/>
      </w:r>
      <w:r>
        <w:instrText xml:space="preserve"> HYPERLINK \l _Toc4689 </w:instrText>
      </w:r>
      <w:r>
        <w:fldChar w:fldCharType="separate"/>
      </w:r>
      <w:r>
        <w:rPr>
          <w:rFonts w:ascii="微软雅黑" w:hAnsi="微软雅黑" w:eastAsia="微软雅黑"/>
          <w:i w:val="0"/>
        </w:rPr>
        <w:t>12. 实验配方库</w:t>
      </w:r>
      <w:r>
        <w:tab/>
      </w:r>
      <w:r>
        <w:fldChar w:fldCharType="begin"/>
      </w:r>
      <w:r>
        <w:instrText xml:space="preserve"> PAGEREF _Toc4689 \h </w:instrText>
      </w:r>
      <w:r>
        <w:fldChar w:fldCharType="separate"/>
      </w:r>
      <w:r>
        <w:t>32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_Toc23571 </w:instrText>
      </w:r>
      <w:r>
        <w:fldChar w:fldCharType="separate"/>
      </w:r>
      <w:r>
        <w:rPr>
          <w:rFonts w:ascii="微软雅黑" w:hAnsi="微软雅黑" w:eastAsia="微软雅黑"/>
          <w:i w:val="0"/>
        </w:rPr>
        <w:t>12.1 配方列表</w:t>
      </w:r>
      <w:r>
        <w:tab/>
      </w:r>
      <w:r>
        <w:fldChar w:fldCharType="begin"/>
      </w:r>
      <w:r>
        <w:instrText xml:space="preserve"> PAGEREF _Toc23571 \h </w:instrText>
      </w:r>
      <w:r>
        <w:fldChar w:fldCharType="separate"/>
      </w:r>
      <w:r>
        <w:t>32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_Toc26274 </w:instrText>
      </w:r>
      <w:r>
        <w:fldChar w:fldCharType="separate"/>
      </w:r>
      <w:r>
        <w:rPr>
          <w:rFonts w:ascii="微软雅黑" w:hAnsi="微软雅黑" w:eastAsia="微软雅黑"/>
          <w:i w:val="0"/>
        </w:rPr>
        <w:t>12.2 新增配方</w:t>
      </w:r>
      <w:r>
        <w:tab/>
      </w:r>
      <w:r>
        <w:fldChar w:fldCharType="begin"/>
      </w:r>
      <w:r>
        <w:instrText xml:space="preserve"> PAGEREF _Toc26274 \h </w:instrText>
      </w:r>
      <w:r>
        <w:fldChar w:fldCharType="separate"/>
      </w:r>
      <w:r>
        <w:t>32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_Toc9763 </w:instrText>
      </w:r>
      <w:r>
        <w:fldChar w:fldCharType="separate"/>
      </w:r>
      <w:r>
        <w:rPr>
          <w:rFonts w:ascii="微软雅黑" w:hAnsi="微软雅黑" w:eastAsia="微软雅黑"/>
          <w:i w:val="0"/>
        </w:rPr>
        <w:t>12.3 BOM 与成本</w:t>
      </w:r>
      <w:r>
        <w:tab/>
      </w:r>
      <w:r>
        <w:fldChar w:fldCharType="begin"/>
      </w:r>
      <w:r>
        <w:instrText xml:space="preserve"> PAGEREF _Toc9763 \h </w:instrText>
      </w:r>
      <w:r>
        <w:fldChar w:fldCharType="separate"/>
      </w:r>
      <w:r>
        <w:t>33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_Toc17925 </w:instrText>
      </w:r>
      <w:r>
        <w:fldChar w:fldCharType="separate"/>
      </w:r>
      <w:r>
        <w:rPr>
          <w:rFonts w:ascii="微软雅黑" w:hAnsi="微软雅黑" w:eastAsia="微软雅黑"/>
          <w:i w:val="0"/>
        </w:rPr>
        <w:t>12.4 配方编辑限制</w:t>
      </w:r>
      <w:r>
        <w:tab/>
      </w:r>
      <w:r>
        <w:fldChar w:fldCharType="begin"/>
      </w:r>
      <w:r>
        <w:instrText xml:space="preserve"> PAGEREF _Toc17925 \h </w:instrText>
      </w:r>
      <w:r>
        <w:fldChar w:fldCharType="separate"/>
      </w:r>
      <w:r>
        <w:t>35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_Toc5982 </w:instrText>
      </w:r>
      <w:r>
        <w:fldChar w:fldCharType="separate"/>
      </w:r>
      <w:r>
        <w:rPr>
          <w:rFonts w:ascii="微软雅黑" w:hAnsi="微软雅黑" w:eastAsia="微软雅黑"/>
          <w:i w:val="0"/>
        </w:rPr>
        <w:t>12.5 配方对比</w:t>
      </w:r>
      <w:r>
        <w:tab/>
      </w:r>
      <w:r>
        <w:fldChar w:fldCharType="begin"/>
      </w:r>
      <w:r>
        <w:instrText xml:space="preserve"> PAGEREF _Toc5982 \h </w:instrText>
      </w:r>
      <w:r>
        <w:fldChar w:fldCharType="separate"/>
      </w:r>
      <w:r>
        <w:t>36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_Toc27589 </w:instrText>
      </w:r>
      <w:r>
        <w:fldChar w:fldCharType="separate"/>
      </w:r>
      <w:r>
        <w:rPr>
          <w:rFonts w:ascii="微软雅黑" w:hAnsi="微软雅黑" w:eastAsia="微软雅黑"/>
          <w:i w:val="0"/>
        </w:rPr>
        <w:t>12.6 客户竞品配方</w:t>
      </w:r>
      <w:r>
        <w:tab/>
      </w:r>
      <w:r>
        <w:fldChar w:fldCharType="begin"/>
      </w:r>
      <w:r>
        <w:instrText xml:space="preserve"> PAGEREF _Toc27589 \h </w:instrText>
      </w:r>
      <w:r>
        <w:fldChar w:fldCharType="separate"/>
      </w:r>
      <w:r>
        <w:t>36</w:t>
      </w:r>
      <w:r>
        <w:fldChar w:fldCharType="end"/>
      </w:r>
      <w:r>
        <w:fldChar w:fldCharType="end"/>
      </w:r>
    </w:p>
    <w:p>
      <w:pPr>
        <w:pStyle w:val="26"/>
        <w:tabs>
          <w:tab w:val="right" w:leader="dot" w:pos="9411"/>
        </w:tabs>
      </w:pPr>
      <w:r>
        <w:fldChar w:fldCharType="begin"/>
      </w:r>
      <w:r>
        <w:instrText xml:space="preserve"> HYPERLINK \l _Toc17136 </w:instrText>
      </w:r>
      <w:r>
        <w:fldChar w:fldCharType="separate"/>
      </w:r>
      <w:r>
        <w:rPr>
          <w:rFonts w:ascii="微软雅黑" w:hAnsi="微软雅黑" w:eastAsia="微软雅黑"/>
          <w:i w:val="0"/>
        </w:rPr>
        <w:t>13. 试验排产中心</w:t>
      </w:r>
      <w:r>
        <w:tab/>
      </w:r>
      <w:r>
        <w:fldChar w:fldCharType="begin"/>
      </w:r>
      <w:r>
        <w:instrText xml:space="preserve"> PAGEREF _Toc17136 \h </w:instrText>
      </w:r>
      <w:r>
        <w:fldChar w:fldCharType="separate"/>
      </w:r>
      <w:r>
        <w:t>36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_Toc30524 </w:instrText>
      </w:r>
      <w:r>
        <w:fldChar w:fldCharType="separate"/>
      </w:r>
      <w:r>
        <w:rPr>
          <w:rFonts w:ascii="微软雅黑" w:hAnsi="微软雅黑" w:eastAsia="微软雅黑"/>
          <w:i w:val="0"/>
        </w:rPr>
        <w:t>13.1 排产总览</w:t>
      </w:r>
      <w:r>
        <w:tab/>
      </w:r>
      <w:r>
        <w:fldChar w:fldCharType="begin"/>
      </w:r>
      <w:r>
        <w:instrText xml:space="preserve"> PAGEREF _Toc30524 \h </w:instrText>
      </w:r>
      <w:r>
        <w:fldChar w:fldCharType="separate"/>
      </w:r>
      <w:r>
        <w:t>36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_Toc18465 </w:instrText>
      </w:r>
      <w:r>
        <w:fldChar w:fldCharType="separate"/>
      </w:r>
      <w:r>
        <w:rPr>
          <w:rFonts w:ascii="微软雅黑" w:hAnsi="微软雅黑" w:eastAsia="微软雅黑"/>
          <w:i w:val="0"/>
        </w:rPr>
        <w:t>13.2 创建生产工单</w:t>
      </w:r>
      <w:r>
        <w:tab/>
      </w:r>
      <w:r>
        <w:fldChar w:fldCharType="begin"/>
      </w:r>
      <w:r>
        <w:instrText xml:space="preserve"> PAGEREF _Toc18465 \h </w:instrText>
      </w:r>
      <w:r>
        <w:fldChar w:fldCharType="separate"/>
      </w:r>
      <w:r>
        <w:t>37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_Toc31366 </w:instrText>
      </w:r>
      <w:r>
        <w:fldChar w:fldCharType="separate"/>
      </w:r>
      <w:r>
        <w:rPr>
          <w:rFonts w:ascii="微软雅黑" w:hAnsi="微软雅黑" w:eastAsia="微软雅黑"/>
          <w:i w:val="0"/>
        </w:rPr>
        <w:t>13.3 工单状态与操作</w:t>
      </w:r>
      <w:r>
        <w:tab/>
      </w:r>
      <w:r>
        <w:fldChar w:fldCharType="begin"/>
      </w:r>
      <w:r>
        <w:instrText xml:space="preserve"> PAGEREF _Toc31366 \h </w:instrText>
      </w:r>
      <w:r>
        <w:fldChar w:fldCharType="separate"/>
      </w:r>
      <w:r>
        <w:t>37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_Toc26824 </w:instrText>
      </w:r>
      <w:r>
        <w:fldChar w:fldCharType="separate"/>
      </w:r>
      <w:r>
        <w:rPr>
          <w:rFonts w:ascii="微软雅黑" w:hAnsi="微软雅黑" w:eastAsia="微软雅黑"/>
          <w:i w:val="0"/>
        </w:rPr>
        <w:t>13.4 提交审批与发单</w:t>
      </w:r>
      <w:r>
        <w:tab/>
      </w:r>
      <w:r>
        <w:fldChar w:fldCharType="begin"/>
      </w:r>
      <w:r>
        <w:instrText xml:space="preserve"> PAGEREF _Toc26824 \h </w:instrText>
      </w:r>
      <w:r>
        <w:fldChar w:fldCharType="separate"/>
      </w:r>
      <w:r>
        <w:t>38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_Toc28580 </w:instrText>
      </w:r>
      <w:r>
        <w:fldChar w:fldCharType="separate"/>
      </w:r>
      <w:r>
        <w:rPr>
          <w:rFonts w:ascii="微软雅黑" w:hAnsi="微软雅黑" w:eastAsia="微软雅黑"/>
          <w:i w:val="0"/>
        </w:rPr>
        <w:t>13.5 打印工单</w:t>
      </w:r>
      <w:r>
        <w:tab/>
      </w:r>
      <w:r>
        <w:fldChar w:fldCharType="begin"/>
      </w:r>
      <w:r>
        <w:instrText xml:space="preserve"> PAGEREF _Toc28580 \h </w:instrText>
      </w:r>
      <w:r>
        <w:fldChar w:fldCharType="separate"/>
      </w:r>
      <w:r>
        <w:t>38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_Toc92 </w:instrText>
      </w:r>
      <w:r>
        <w:fldChar w:fldCharType="separate"/>
      </w:r>
      <w:r>
        <w:rPr>
          <w:rFonts w:ascii="微软雅黑" w:hAnsi="微软雅黑" w:eastAsia="微软雅黑"/>
          <w:i w:val="0"/>
        </w:rPr>
        <w:t>13.6 排产日历</w:t>
      </w:r>
      <w:r>
        <w:tab/>
      </w:r>
      <w:r>
        <w:fldChar w:fldCharType="begin"/>
      </w:r>
      <w:r>
        <w:instrText xml:space="preserve"> PAGEREF _Toc92 \h </w:instrText>
      </w:r>
      <w:r>
        <w:fldChar w:fldCharType="separate"/>
      </w:r>
      <w:r>
        <w:t>38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_Toc20410 </w:instrText>
      </w:r>
      <w:r>
        <w:fldChar w:fldCharType="separate"/>
      </w:r>
      <w:r>
        <w:rPr>
          <w:rFonts w:ascii="微软雅黑" w:hAnsi="微软雅黑" w:eastAsia="微软雅黑"/>
          <w:i w:val="0"/>
        </w:rPr>
        <w:t>13.7 成品颗粒库存</w:t>
      </w:r>
      <w:r>
        <w:tab/>
      </w:r>
      <w:r>
        <w:fldChar w:fldCharType="begin"/>
      </w:r>
      <w:r>
        <w:instrText xml:space="preserve"> PAGEREF _Toc20410 \h </w:instrText>
      </w:r>
      <w:r>
        <w:fldChar w:fldCharType="separate"/>
      </w:r>
      <w:r>
        <w:t>38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_Toc18620 </w:instrText>
      </w:r>
      <w:r>
        <w:fldChar w:fldCharType="separate"/>
      </w:r>
      <w:r>
        <w:rPr>
          <w:rFonts w:ascii="微软雅黑" w:hAnsi="微软雅黑" w:eastAsia="微软雅黑"/>
          <w:i w:val="0"/>
        </w:rPr>
        <w:t>13.8 SAP 入库</w:t>
      </w:r>
      <w:r>
        <w:tab/>
      </w:r>
      <w:r>
        <w:fldChar w:fldCharType="begin"/>
      </w:r>
      <w:r>
        <w:instrText xml:space="preserve"> PAGEREF _Toc18620 \h </w:instrText>
      </w:r>
      <w:r>
        <w:fldChar w:fldCharType="separate"/>
      </w:r>
      <w:r>
        <w:t>38</w:t>
      </w:r>
      <w:r>
        <w:fldChar w:fldCharType="end"/>
      </w:r>
      <w:r>
        <w:fldChar w:fldCharType="end"/>
      </w:r>
    </w:p>
    <w:p>
      <w:pPr>
        <w:pStyle w:val="26"/>
        <w:tabs>
          <w:tab w:val="right" w:leader="dot" w:pos="9411"/>
        </w:tabs>
      </w:pPr>
      <w:r>
        <w:fldChar w:fldCharType="begin"/>
      </w:r>
      <w:r>
        <w:instrText xml:space="preserve"> HYPERLINK \l _Toc9560 </w:instrText>
      </w:r>
      <w:r>
        <w:fldChar w:fldCharType="separate"/>
      </w:r>
      <w:r>
        <w:rPr>
          <w:rFonts w:ascii="微软雅黑" w:hAnsi="微软雅黑" w:eastAsia="微软雅黑"/>
          <w:i w:val="0"/>
        </w:rPr>
        <w:t>14. 挤出排产中心</w:t>
      </w:r>
      <w:r>
        <w:tab/>
      </w:r>
      <w:r>
        <w:fldChar w:fldCharType="begin"/>
      </w:r>
      <w:r>
        <w:instrText xml:space="preserve"> PAGEREF _Toc9560 \h </w:instrText>
      </w:r>
      <w:r>
        <w:fldChar w:fldCharType="separate"/>
      </w:r>
      <w:r>
        <w:t>39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_Toc466 </w:instrText>
      </w:r>
      <w:r>
        <w:fldChar w:fldCharType="separate"/>
      </w:r>
      <w:r>
        <w:rPr>
          <w:rFonts w:ascii="微软雅黑" w:hAnsi="微软雅黑" w:eastAsia="微软雅黑"/>
          <w:i w:val="0"/>
        </w:rPr>
        <w:t>14.1 排产工作台</w:t>
      </w:r>
      <w:r>
        <w:tab/>
      </w:r>
      <w:r>
        <w:fldChar w:fldCharType="begin"/>
      </w:r>
      <w:r>
        <w:instrText xml:space="preserve"> PAGEREF _Toc466 \h </w:instrText>
      </w:r>
      <w:r>
        <w:fldChar w:fldCharType="separate"/>
      </w:r>
      <w:r>
        <w:t>39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_Toc31209 </w:instrText>
      </w:r>
      <w:r>
        <w:fldChar w:fldCharType="separate"/>
      </w:r>
      <w:r>
        <w:rPr>
          <w:rFonts w:ascii="微软雅黑" w:hAnsi="微软雅黑" w:eastAsia="微软雅黑"/>
          <w:i w:val="0"/>
        </w:rPr>
        <w:t>14.2 挤出任务</w:t>
      </w:r>
      <w:r>
        <w:tab/>
      </w:r>
      <w:r>
        <w:fldChar w:fldCharType="begin"/>
      </w:r>
      <w:r>
        <w:instrText xml:space="preserve"> PAGEREF _Toc31209 \h </w:instrText>
      </w:r>
      <w:r>
        <w:fldChar w:fldCharType="separate"/>
      </w:r>
      <w:r>
        <w:t>39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_Toc31684 </w:instrText>
      </w:r>
      <w:r>
        <w:fldChar w:fldCharType="separate"/>
      </w:r>
      <w:r>
        <w:rPr>
          <w:rFonts w:ascii="微软雅黑" w:hAnsi="微软雅黑" w:eastAsia="微软雅黑"/>
          <w:i w:val="0"/>
        </w:rPr>
        <w:t>14.3 开始挤出</w:t>
      </w:r>
      <w:r>
        <w:tab/>
      </w:r>
      <w:r>
        <w:fldChar w:fldCharType="begin"/>
      </w:r>
      <w:r>
        <w:instrText xml:space="preserve"> PAGEREF _Toc31684 \h </w:instrText>
      </w:r>
      <w:r>
        <w:fldChar w:fldCharType="separate"/>
      </w:r>
      <w:r>
        <w:t>39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_Toc16318 </w:instrText>
      </w:r>
      <w:r>
        <w:fldChar w:fldCharType="separate"/>
      </w:r>
      <w:r>
        <w:rPr>
          <w:rFonts w:ascii="微软雅黑" w:hAnsi="微软雅黑" w:eastAsia="微软雅黑"/>
          <w:i w:val="0"/>
        </w:rPr>
        <w:t>14.4 填写挤出记录</w:t>
      </w:r>
      <w:r>
        <w:tab/>
      </w:r>
      <w:r>
        <w:fldChar w:fldCharType="begin"/>
      </w:r>
      <w:r>
        <w:instrText xml:space="preserve"> PAGEREF _Toc16318 \h </w:instrText>
      </w:r>
      <w:r>
        <w:fldChar w:fldCharType="separate"/>
      </w:r>
      <w:r>
        <w:t>39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_Toc16220 </w:instrText>
      </w:r>
      <w:r>
        <w:fldChar w:fldCharType="separate"/>
      </w:r>
      <w:r>
        <w:rPr>
          <w:rFonts w:ascii="微软雅黑" w:hAnsi="微软雅黑" w:eastAsia="微软雅黑"/>
          <w:i w:val="0"/>
        </w:rPr>
        <w:t>14.5 完成与颗粒分拨</w:t>
      </w:r>
      <w:r>
        <w:tab/>
      </w:r>
      <w:r>
        <w:fldChar w:fldCharType="begin"/>
      </w:r>
      <w:r>
        <w:instrText xml:space="preserve"> PAGEREF _Toc16220 \h </w:instrText>
      </w:r>
      <w:r>
        <w:fldChar w:fldCharType="separate"/>
      </w:r>
      <w:r>
        <w:t>40</w:t>
      </w:r>
      <w:r>
        <w:fldChar w:fldCharType="end"/>
      </w:r>
      <w:r>
        <w:fldChar w:fldCharType="end"/>
      </w:r>
    </w:p>
    <w:p>
      <w:pPr>
        <w:pStyle w:val="26"/>
        <w:tabs>
          <w:tab w:val="right" w:leader="dot" w:pos="9411"/>
        </w:tabs>
      </w:pPr>
      <w:r>
        <w:fldChar w:fldCharType="begin"/>
      </w:r>
      <w:r>
        <w:instrText xml:space="preserve"> HYPERLINK \l _Toc9553 </w:instrText>
      </w:r>
      <w:r>
        <w:fldChar w:fldCharType="separate"/>
      </w:r>
      <w:r>
        <w:rPr>
          <w:rFonts w:ascii="微软雅黑" w:hAnsi="微软雅黑" w:eastAsia="微软雅黑"/>
          <w:i w:val="0"/>
        </w:rPr>
        <w:t>15. 材料配色中心</w:t>
      </w:r>
      <w:r>
        <w:tab/>
      </w:r>
      <w:r>
        <w:fldChar w:fldCharType="begin"/>
      </w:r>
      <w:r>
        <w:instrText xml:space="preserve"> PAGEREF _Toc9553 \h </w:instrText>
      </w:r>
      <w:r>
        <w:fldChar w:fldCharType="separate"/>
      </w:r>
      <w:r>
        <w:t>40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_Toc11956 </w:instrText>
      </w:r>
      <w:r>
        <w:fldChar w:fldCharType="separate"/>
      </w:r>
      <w:r>
        <w:rPr>
          <w:rFonts w:ascii="微软雅黑" w:hAnsi="微软雅黑" w:eastAsia="微软雅黑"/>
          <w:i w:val="0"/>
        </w:rPr>
        <w:t>15.1 配色任务</w:t>
      </w:r>
      <w:r>
        <w:tab/>
      </w:r>
      <w:r>
        <w:fldChar w:fldCharType="begin"/>
      </w:r>
      <w:r>
        <w:instrText xml:space="preserve"> PAGEREF _Toc11956 \h </w:instrText>
      </w:r>
      <w:r>
        <w:fldChar w:fldCharType="separate"/>
      </w:r>
      <w:r>
        <w:t>40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_Toc25519 </w:instrText>
      </w:r>
      <w:r>
        <w:fldChar w:fldCharType="separate"/>
      </w:r>
      <w:r>
        <w:rPr>
          <w:rFonts w:ascii="微软雅黑" w:hAnsi="微软雅黑" w:eastAsia="微软雅黑"/>
          <w:i w:val="0"/>
        </w:rPr>
        <w:t>15.2 项目配色</w:t>
      </w:r>
      <w:r>
        <w:tab/>
      </w:r>
      <w:r>
        <w:fldChar w:fldCharType="begin"/>
      </w:r>
      <w:r>
        <w:instrText xml:space="preserve"> PAGEREF _Toc25519 \h </w:instrText>
      </w:r>
      <w:r>
        <w:fldChar w:fldCharType="separate"/>
      </w:r>
      <w:r>
        <w:t>40</w:t>
      </w:r>
      <w:r>
        <w:fldChar w:fldCharType="end"/>
      </w:r>
      <w:r>
        <w:fldChar w:fldCharType="end"/>
      </w:r>
    </w:p>
    <w:p>
      <w:pPr>
        <w:pStyle w:val="26"/>
        <w:tabs>
          <w:tab w:val="right" w:leader="dot" w:pos="9411"/>
        </w:tabs>
      </w:pPr>
      <w:r>
        <w:fldChar w:fldCharType="begin"/>
      </w:r>
      <w:r>
        <w:instrText xml:space="preserve"> HYPERLINK \l _Toc2178 </w:instrText>
      </w:r>
      <w:r>
        <w:fldChar w:fldCharType="separate"/>
      </w:r>
      <w:r>
        <w:rPr>
          <w:rFonts w:ascii="微软雅黑" w:hAnsi="微软雅黑" w:eastAsia="微软雅黑"/>
          <w:i w:val="0"/>
        </w:rPr>
        <w:t>16. 模具注塑中心</w:t>
      </w:r>
      <w:r>
        <w:tab/>
      </w:r>
      <w:r>
        <w:fldChar w:fldCharType="begin"/>
      </w:r>
      <w:r>
        <w:instrText xml:space="preserve"> PAGEREF _Toc2178 \h </w:instrText>
      </w:r>
      <w:r>
        <w:fldChar w:fldCharType="separate"/>
      </w:r>
      <w:r>
        <w:t>41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_Toc26926 </w:instrText>
      </w:r>
      <w:r>
        <w:fldChar w:fldCharType="separate"/>
      </w:r>
      <w:r>
        <w:rPr>
          <w:rFonts w:ascii="微软雅黑" w:hAnsi="微软雅黑" w:eastAsia="微软雅黑"/>
          <w:i w:val="0"/>
        </w:rPr>
        <w:t>16.1 注塑任务</w:t>
      </w:r>
      <w:r>
        <w:tab/>
      </w:r>
      <w:r>
        <w:fldChar w:fldCharType="begin"/>
      </w:r>
      <w:r>
        <w:instrText xml:space="preserve"> PAGEREF _Toc26926 \h </w:instrText>
      </w:r>
      <w:r>
        <w:fldChar w:fldCharType="separate"/>
      </w:r>
      <w:r>
        <w:t>41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_Toc19053 </w:instrText>
      </w:r>
      <w:r>
        <w:fldChar w:fldCharType="separate"/>
      </w:r>
      <w:r>
        <w:rPr>
          <w:rFonts w:ascii="微软雅黑" w:hAnsi="微软雅黑" w:eastAsia="微软雅黑"/>
          <w:i w:val="0"/>
        </w:rPr>
        <w:t>16.2 开始注塑</w:t>
      </w:r>
      <w:r>
        <w:tab/>
      </w:r>
      <w:r>
        <w:fldChar w:fldCharType="begin"/>
      </w:r>
      <w:r>
        <w:instrText xml:space="preserve"> PAGEREF _Toc19053 \h </w:instrText>
      </w:r>
      <w:r>
        <w:fldChar w:fldCharType="separate"/>
      </w:r>
      <w:r>
        <w:t>41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_Toc2777 </w:instrText>
      </w:r>
      <w:r>
        <w:fldChar w:fldCharType="separate"/>
      </w:r>
      <w:r>
        <w:rPr>
          <w:rFonts w:ascii="微软雅黑" w:hAnsi="微软雅黑" w:eastAsia="微软雅黑"/>
          <w:i w:val="0"/>
        </w:rPr>
        <w:t>16.3 完成注塑</w:t>
      </w:r>
      <w:r>
        <w:tab/>
      </w:r>
      <w:r>
        <w:fldChar w:fldCharType="begin"/>
      </w:r>
      <w:r>
        <w:instrText xml:space="preserve"> PAGEREF _Toc2777 \h </w:instrText>
      </w:r>
      <w:r>
        <w:fldChar w:fldCharType="separate"/>
      </w:r>
      <w:r>
        <w:t>41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_Toc4940 </w:instrText>
      </w:r>
      <w:r>
        <w:fldChar w:fldCharType="separate"/>
      </w:r>
      <w:r>
        <w:rPr>
          <w:rFonts w:ascii="微软雅黑" w:hAnsi="微软雅黑" w:eastAsia="微软雅黑"/>
          <w:i w:val="0"/>
        </w:rPr>
        <w:t>16.4 样品库存</w:t>
      </w:r>
      <w:r>
        <w:tab/>
      </w:r>
      <w:r>
        <w:fldChar w:fldCharType="begin"/>
      </w:r>
      <w:r>
        <w:instrText xml:space="preserve"> PAGEREF _Toc4940 \h </w:instrText>
      </w:r>
      <w:r>
        <w:fldChar w:fldCharType="separate"/>
      </w:r>
      <w:r>
        <w:t>42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_Toc31289 </w:instrText>
      </w:r>
      <w:r>
        <w:fldChar w:fldCharType="separate"/>
      </w:r>
      <w:r>
        <w:rPr>
          <w:rFonts w:ascii="微软雅黑" w:hAnsi="微软雅黑" w:eastAsia="微软雅黑"/>
          <w:i w:val="0"/>
        </w:rPr>
        <w:t>16.5 模具台账</w:t>
      </w:r>
      <w:r>
        <w:tab/>
      </w:r>
      <w:r>
        <w:fldChar w:fldCharType="begin"/>
      </w:r>
      <w:r>
        <w:instrText xml:space="preserve"> PAGEREF _Toc31289 \h </w:instrText>
      </w:r>
      <w:r>
        <w:fldChar w:fldCharType="separate"/>
      </w:r>
      <w:r>
        <w:t>42</w:t>
      </w:r>
      <w:r>
        <w:fldChar w:fldCharType="end"/>
      </w:r>
      <w:r>
        <w:fldChar w:fldCharType="end"/>
      </w:r>
    </w:p>
    <w:p>
      <w:pPr>
        <w:pStyle w:val="26"/>
        <w:tabs>
          <w:tab w:val="right" w:leader="dot" w:pos="9411"/>
        </w:tabs>
      </w:pPr>
      <w:r>
        <w:fldChar w:fldCharType="begin"/>
      </w:r>
      <w:r>
        <w:instrText xml:space="preserve"> HYPERLINK \l _Toc27728 </w:instrText>
      </w:r>
      <w:r>
        <w:fldChar w:fldCharType="separate"/>
      </w:r>
      <w:r>
        <w:rPr>
          <w:rFonts w:ascii="微软雅黑" w:hAnsi="微软雅黑" w:eastAsia="微软雅黑"/>
          <w:i w:val="0"/>
        </w:rPr>
        <w:t>17. 材料测试中心</w:t>
      </w:r>
      <w:r>
        <w:tab/>
      </w:r>
      <w:r>
        <w:fldChar w:fldCharType="begin"/>
      </w:r>
      <w:r>
        <w:instrText xml:space="preserve"> PAGEREF _Toc27728 \h </w:instrText>
      </w:r>
      <w:r>
        <w:fldChar w:fldCharType="separate"/>
      </w:r>
      <w:r>
        <w:t>42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_Toc27234 </w:instrText>
      </w:r>
      <w:r>
        <w:fldChar w:fldCharType="separate"/>
      </w:r>
      <w:r>
        <w:rPr>
          <w:rFonts w:ascii="微软雅黑" w:hAnsi="微软雅黑" w:eastAsia="微软雅黑"/>
          <w:i w:val="0"/>
        </w:rPr>
        <w:t>17.1 测试任务</w:t>
      </w:r>
      <w:r>
        <w:tab/>
      </w:r>
      <w:r>
        <w:fldChar w:fldCharType="begin"/>
      </w:r>
      <w:r>
        <w:instrText xml:space="preserve"> PAGEREF _Toc27234 \h </w:instrText>
      </w:r>
      <w:r>
        <w:fldChar w:fldCharType="separate"/>
      </w:r>
      <w:r>
        <w:t>42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_Toc22614 </w:instrText>
      </w:r>
      <w:r>
        <w:fldChar w:fldCharType="separate"/>
      </w:r>
      <w:r>
        <w:rPr>
          <w:rFonts w:ascii="微软雅黑" w:hAnsi="微软雅黑" w:eastAsia="微软雅黑"/>
          <w:i w:val="0"/>
        </w:rPr>
        <w:t>17.2 填写测试结果</w:t>
      </w:r>
      <w:r>
        <w:tab/>
      </w:r>
      <w:r>
        <w:fldChar w:fldCharType="begin"/>
      </w:r>
      <w:r>
        <w:instrText xml:space="preserve"> PAGEREF _Toc22614 \h </w:instrText>
      </w:r>
      <w:r>
        <w:fldChar w:fldCharType="separate"/>
      </w:r>
      <w:r>
        <w:t>43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_Toc26223 </w:instrText>
      </w:r>
      <w:r>
        <w:fldChar w:fldCharType="separate"/>
      </w:r>
      <w:r>
        <w:rPr>
          <w:rFonts w:ascii="微软雅黑" w:hAnsi="微软雅黑" w:eastAsia="微软雅黑"/>
          <w:i w:val="0"/>
        </w:rPr>
        <w:t>17.3 回写配方</w:t>
      </w:r>
      <w:r>
        <w:tab/>
      </w:r>
      <w:r>
        <w:fldChar w:fldCharType="begin"/>
      </w:r>
      <w:r>
        <w:instrText xml:space="preserve"> PAGEREF _Toc26223 \h </w:instrText>
      </w:r>
      <w:r>
        <w:fldChar w:fldCharType="separate"/>
      </w:r>
      <w:r>
        <w:t>43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_Toc17145 </w:instrText>
      </w:r>
      <w:r>
        <w:fldChar w:fldCharType="separate"/>
      </w:r>
      <w:r>
        <w:rPr>
          <w:rFonts w:ascii="微软雅黑" w:hAnsi="微软雅黑" w:eastAsia="微软雅黑"/>
          <w:i w:val="0"/>
        </w:rPr>
        <w:t>17.4 手动完成并回写</w:t>
      </w:r>
      <w:r>
        <w:tab/>
      </w:r>
      <w:r>
        <w:fldChar w:fldCharType="begin"/>
      </w:r>
      <w:r>
        <w:instrText xml:space="preserve"> PAGEREF _Toc17145 \h </w:instrText>
      </w:r>
      <w:r>
        <w:fldChar w:fldCharType="separate"/>
      </w:r>
      <w:r>
        <w:t>43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_Toc11470 </w:instrText>
      </w:r>
      <w:r>
        <w:fldChar w:fldCharType="separate"/>
      </w:r>
      <w:r>
        <w:rPr>
          <w:rFonts w:ascii="微软雅黑" w:hAnsi="微软雅黑" w:eastAsia="微软雅黑"/>
          <w:i w:val="0"/>
        </w:rPr>
        <w:t>17.5 样条库存</w:t>
      </w:r>
      <w:r>
        <w:tab/>
      </w:r>
      <w:r>
        <w:fldChar w:fldCharType="begin"/>
      </w:r>
      <w:r>
        <w:instrText xml:space="preserve"> PAGEREF _Toc11470 \h </w:instrText>
      </w:r>
      <w:r>
        <w:fldChar w:fldCharType="separate"/>
      </w:r>
      <w:r>
        <w:t>43</w:t>
      </w:r>
      <w:r>
        <w:fldChar w:fldCharType="end"/>
      </w:r>
      <w:r>
        <w:fldChar w:fldCharType="end"/>
      </w:r>
    </w:p>
    <w:p>
      <w:pPr>
        <w:pStyle w:val="26"/>
        <w:tabs>
          <w:tab w:val="right" w:leader="dot" w:pos="9411"/>
        </w:tabs>
      </w:pPr>
      <w:r>
        <w:fldChar w:fldCharType="begin"/>
      </w:r>
      <w:r>
        <w:instrText xml:space="preserve"> HYPERLINK \l _Toc29987 </w:instrText>
      </w:r>
      <w:r>
        <w:fldChar w:fldCharType="separate"/>
      </w:r>
      <w:r>
        <w:rPr>
          <w:rFonts w:ascii="微软雅黑" w:hAnsi="微软雅黑" w:eastAsia="微软雅黑"/>
          <w:i w:val="0"/>
        </w:rPr>
        <w:t>18. 生产工艺库</w:t>
      </w:r>
      <w:r>
        <w:tab/>
      </w:r>
      <w:r>
        <w:fldChar w:fldCharType="begin"/>
      </w:r>
      <w:r>
        <w:instrText xml:space="preserve"> PAGEREF _Toc29987 \h </w:instrText>
      </w:r>
      <w:r>
        <w:fldChar w:fldCharType="separate"/>
      </w:r>
      <w:r>
        <w:t>44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_Toc15891 </w:instrText>
      </w:r>
      <w:r>
        <w:fldChar w:fldCharType="separate"/>
      </w:r>
      <w:r>
        <w:rPr>
          <w:rFonts w:ascii="微软雅黑" w:hAnsi="微软雅黑" w:eastAsia="微软雅黑"/>
          <w:i w:val="0"/>
        </w:rPr>
        <w:t>18.1 工艺方案</w:t>
      </w:r>
      <w:r>
        <w:tab/>
      </w:r>
      <w:r>
        <w:fldChar w:fldCharType="begin"/>
      </w:r>
      <w:r>
        <w:instrText xml:space="preserve"> PAGEREF _Toc15891 \h </w:instrText>
      </w:r>
      <w:r>
        <w:fldChar w:fldCharType="separate"/>
      </w:r>
      <w:r>
        <w:t>44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_Toc9001 </w:instrText>
      </w:r>
      <w:r>
        <w:fldChar w:fldCharType="separate"/>
      </w:r>
      <w:r>
        <w:rPr>
          <w:rFonts w:ascii="微软雅黑" w:hAnsi="微软雅黑" w:eastAsia="微软雅黑"/>
          <w:i w:val="0"/>
        </w:rPr>
        <w:t>18.2 机台型号</w:t>
      </w:r>
      <w:r>
        <w:tab/>
      </w:r>
      <w:r>
        <w:fldChar w:fldCharType="begin"/>
      </w:r>
      <w:r>
        <w:instrText xml:space="preserve"> PAGEREF _Toc9001 \h </w:instrText>
      </w:r>
      <w:r>
        <w:fldChar w:fldCharType="separate"/>
      </w:r>
      <w:r>
        <w:t>44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_Toc803 </w:instrText>
      </w:r>
      <w:r>
        <w:fldChar w:fldCharType="separate"/>
      </w:r>
      <w:r>
        <w:rPr>
          <w:rFonts w:ascii="微软雅黑" w:hAnsi="微软雅黑" w:eastAsia="微软雅黑"/>
          <w:i w:val="0"/>
        </w:rPr>
        <w:t>18.3 螺杆组合</w:t>
      </w:r>
      <w:r>
        <w:tab/>
      </w:r>
      <w:r>
        <w:fldChar w:fldCharType="begin"/>
      </w:r>
      <w:r>
        <w:instrText xml:space="preserve"> PAGEREF _Toc803 \h </w:instrText>
      </w:r>
      <w:r>
        <w:fldChar w:fldCharType="separate"/>
      </w:r>
      <w:r>
        <w:t>44</w:t>
      </w:r>
      <w:r>
        <w:fldChar w:fldCharType="end"/>
      </w:r>
      <w:r>
        <w:fldChar w:fldCharType="end"/>
      </w:r>
    </w:p>
    <w:p>
      <w:pPr>
        <w:pStyle w:val="26"/>
        <w:tabs>
          <w:tab w:val="right" w:leader="dot" w:pos="9411"/>
        </w:tabs>
      </w:pPr>
      <w:r>
        <w:fldChar w:fldCharType="begin"/>
      </w:r>
      <w:r>
        <w:instrText xml:space="preserve"> HYPERLINK \l _Toc2227 </w:instrText>
      </w:r>
      <w:r>
        <w:fldChar w:fldCharType="separate"/>
      </w:r>
      <w:r>
        <w:rPr>
          <w:rFonts w:ascii="微软雅黑" w:hAnsi="微软雅黑" w:eastAsia="微软雅黑"/>
          <w:i w:val="0"/>
        </w:rPr>
        <w:t>19. 原材料与供应商</w:t>
      </w:r>
      <w:r>
        <w:tab/>
      </w:r>
      <w:r>
        <w:fldChar w:fldCharType="begin"/>
      </w:r>
      <w:r>
        <w:instrText xml:space="preserve"> PAGEREF _Toc2227 \h </w:instrText>
      </w:r>
      <w:r>
        <w:fldChar w:fldCharType="separate"/>
      </w:r>
      <w:r>
        <w:t>45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_Toc19958 </w:instrText>
      </w:r>
      <w:r>
        <w:fldChar w:fldCharType="separate"/>
      </w:r>
      <w:r>
        <w:rPr>
          <w:rFonts w:ascii="微软雅黑" w:hAnsi="微软雅黑" w:eastAsia="微软雅黑"/>
          <w:i w:val="0"/>
        </w:rPr>
        <w:t>19.1 原材料列表</w:t>
      </w:r>
      <w:r>
        <w:tab/>
      </w:r>
      <w:r>
        <w:fldChar w:fldCharType="begin"/>
      </w:r>
      <w:r>
        <w:instrText xml:space="preserve"> PAGEREF _Toc19958 \h </w:instrText>
      </w:r>
      <w:r>
        <w:fldChar w:fldCharType="separate"/>
      </w:r>
      <w:r>
        <w:t>45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_Toc26883 </w:instrText>
      </w:r>
      <w:r>
        <w:fldChar w:fldCharType="separate"/>
      </w:r>
      <w:r>
        <w:rPr>
          <w:rFonts w:ascii="微软雅黑" w:hAnsi="微软雅黑" w:eastAsia="微软雅黑"/>
          <w:i w:val="0"/>
        </w:rPr>
        <w:t>19.2 原材料价格与计算成本</w:t>
      </w:r>
      <w:r>
        <w:tab/>
      </w:r>
      <w:r>
        <w:fldChar w:fldCharType="begin"/>
      </w:r>
      <w:r>
        <w:instrText xml:space="preserve"> PAGEREF _Toc26883 \h </w:instrText>
      </w:r>
      <w:r>
        <w:fldChar w:fldCharType="separate"/>
      </w:r>
      <w:r>
        <w:t>45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_Toc20811 </w:instrText>
      </w:r>
      <w:r>
        <w:fldChar w:fldCharType="separate"/>
      </w:r>
      <w:r>
        <w:rPr>
          <w:rFonts w:ascii="微软雅黑" w:hAnsi="微软雅黑" w:eastAsia="微软雅黑"/>
          <w:i w:val="0"/>
        </w:rPr>
        <w:t>19.3 新增原材料</w:t>
      </w:r>
      <w:r>
        <w:tab/>
      </w:r>
      <w:r>
        <w:fldChar w:fldCharType="begin"/>
      </w:r>
      <w:r>
        <w:instrText xml:space="preserve"> PAGEREF _Toc20811 \h </w:instrText>
      </w:r>
      <w:r>
        <w:fldChar w:fldCharType="separate"/>
      </w:r>
      <w:r>
        <w:t>46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_Toc15960 </w:instrText>
      </w:r>
      <w:r>
        <w:fldChar w:fldCharType="separate"/>
      </w:r>
      <w:r>
        <w:rPr>
          <w:rFonts w:ascii="微软雅黑" w:hAnsi="微软雅黑" w:eastAsia="微软雅黑"/>
          <w:i w:val="0"/>
        </w:rPr>
        <w:t>19.4 原材料类型</w:t>
      </w:r>
      <w:r>
        <w:tab/>
      </w:r>
      <w:r>
        <w:fldChar w:fldCharType="begin"/>
      </w:r>
      <w:r>
        <w:instrText xml:space="preserve"> PAGEREF _Toc15960 \h </w:instrText>
      </w:r>
      <w:r>
        <w:fldChar w:fldCharType="separate"/>
      </w:r>
      <w:r>
        <w:t>46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_Toc20214 </w:instrText>
      </w:r>
      <w:r>
        <w:fldChar w:fldCharType="separate"/>
      </w:r>
      <w:r>
        <w:rPr>
          <w:rFonts w:ascii="微软雅黑" w:hAnsi="微软雅黑" w:eastAsia="微软雅黑"/>
          <w:i w:val="0"/>
        </w:rPr>
        <w:t>19.5 供应商资料库</w:t>
      </w:r>
      <w:r>
        <w:tab/>
      </w:r>
      <w:r>
        <w:fldChar w:fldCharType="begin"/>
      </w:r>
      <w:r>
        <w:instrText xml:space="preserve"> PAGEREF _Toc20214 \h </w:instrText>
      </w:r>
      <w:r>
        <w:fldChar w:fldCharType="separate"/>
      </w:r>
      <w:r>
        <w:t>47</w:t>
      </w:r>
      <w:r>
        <w:fldChar w:fldCharType="end"/>
      </w:r>
      <w:r>
        <w:fldChar w:fldCharType="end"/>
      </w:r>
    </w:p>
    <w:p>
      <w:pPr>
        <w:pStyle w:val="26"/>
        <w:tabs>
          <w:tab w:val="right" w:leader="dot" w:pos="9411"/>
        </w:tabs>
      </w:pPr>
      <w:r>
        <w:fldChar w:fldCharType="begin"/>
      </w:r>
      <w:r>
        <w:instrText xml:space="preserve"> HYPERLINK \l _Toc31100 </w:instrText>
      </w:r>
      <w:r>
        <w:fldChar w:fldCharType="separate"/>
      </w:r>
      <w:r>
        <w:rPr>
          <w:rFonts w:ascii="微软雅黑" w:hAnsi="微软雅黑" w:eastAsia="微软雅黑"/>
          <w:i w:val="0"/>
        </w:rPr>
        <w:t>20. 表单管理中心</w:t>
      </w:r>
      <w:r>
        <w:tab/>
      </w:r>
      <w:r>
        <w:fldChar w:fldCharType="begin"/>
      </w:r>
      <w:r>
        <w:instrText xml:space="preserve"> PAGEREF _Toc31100 \h </w:instrText>
      </w:r>
      <w:r>
        <w:fldChar w:fldCharType="separate"/>
      </w:r>
      <w:r>
        <w:t>47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_Toc31161 </w:instrText>
      </w:r>
      <w:r>
        <w:fldChar w:fldCharType="separate"/>
      </w:r>
      <w:r>
        <w:rPr>
          <w:rFonts w:ascii="微软雅黑" w:hAnsi="微软雅黑" w:eastAsia="微软雅黑"/>
          <w:i w:val="0"/>
        </w:rPr>
        <w:t>20.1 创建业务表单</w:t>
      </w:r>
      <w:r>
        <w:tab/>
      </w:r>
      <w:r>
        <w:fldChar w:fldCharType="begin"/>
      </w:r>
      <w:r>
        <w:instrText xml:space="preserve"> PAGEREF _Toc31161 \h </w:instrText>
      </w:r>
      <w:r>
        <w:fldChar w:fldCharType="separate"/>
      </w:r>
      <w:r>
        <w:t>47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_Toc31429 </w:instrText>
      </w:r>
      <w:r>
        <w:fldChar w:fldCharType="separate"/>
      </w:r>
      <w:r>
        <w:rPr>
          <w:rFonts w:ascii="微软雅黑" w:hAnsi="微软雅黑" w:eastAsia="微软雅黑"/>
          <w:i w:val="0"/>
        </w:rPr>
        <w:t>20.2 草稿</w:t>
      </w:r>
      <w:r>
        <w:tab/>
      </w:r>
      <w:r>
        <w:fldChar w:fldCharType="begin"/>
      </w:r>
      <w:r>
        <w:instrText xml:space="preserve"> PAGEREF _Toc31429 \h </w:instrText>
      </w:r>
      <w:r>
        <w:fldChar w:fldCharType="separate"/>
      </w:r>
      <w:r>
        <w:t>47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_Toc11973 </w:instrText>
      </w:r>
      <w:r>
        <w:fldChar w:fldCharType="separate"/>
      </w:r>
      <w:r>
        <w:rPr>
          <w:rFonts w:ascii="微软雅黑" w:hAnsi="微软雅黑" w:eastAsia="微软雅黑"/>
          <w:i w:val="0"/>
        </w:rPr>
        <w:t>20.3 我的提交</w:t>
      </w:r>
      <w:r>
        <w:tab/>
      </w:r>
      <w:r>
        <w:fldChar w:fldCharType="begin"/>
      </w:r>
      <w:r>
        <w:instrText xml:space="preserve"> PAGEREF _Toc11973 \h </w:instrText>
      </w:r>
      <w:r>
        <w:fldChar w:fldCharType="separate"/>
      </w:r>
      <w:r>
        <w:t>47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_Toc30733 </w:instrText>
      </w:r>
      <w:r>
        <w:fldChar w:fldCharType="separate"/>
      </w:r>
      <w:r>
        <w:rPr>
          <w:rFonts w:ascii="微软雅黑" w:hAnsi="微软雅黑" w:eastAsia="微软雅黑"/>
          <w:i w:val="0"/>
        </w:rPr>
        <w:t>20.4 分步表单</w:t>
      </w:r>
      <w:r>
        <w:tab/>
      </w:r>
      <w:r>
        <w:fldChar w:fldCharType="begin"/>
      </w:r>
      <w:r>
        <w:instrText xml:space="preserve"> PAGEREF _Toc30733 \h </w:instrText>
      </w:r>
      <w:r>
        <w:fldChar w:fldCharType="separate"/>
      </w:r>
      <w:r>
        <w:t>48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_Toc3152 </w:instrText>
      </w:r>
      <w:r>
        <w:fldChar w:fldCharType="separate"/>
      </w:r>
      <w:r>
        <w:rPr>
          <w:rFonts w:ascii="微软雅黑" w:hAnsi="微软雅黑" w:eastAsia="微软雅黑"/>
          <w:i w:val="0"/>
        </w:rPr>
        <w:t>20.5 审批操作</w:t>
      </w:r>
      <w:r>
        <w:tab/>
      </w:r>
      <w:r>
        <w:fldChar w:fldCharType="begin"/>
      </w:r>
      <w:r>
        <w:instrText xml:space="preserve"> PAGEREF _Toc3152 \h </w:instrText>
      </w:r>
      <w:r>
        <w:fldChar w:fldCharType="separate"/>
      </w:r>
      <w:r>
        <w:t>48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_Toc24424 </w:instrText>
      </w:r>
      <w:r>
        <w:fldChar w:fldCharType="separate"/>
      </w:r>
      <w:r>
        <w:rPr>
          <w:rFonts w:ascii="微软雅黑" w:hAnsi="微软雅黑" w:eastAsia="微软雅黑"/>
          <w:i w:val="0"/>
        </w:rPr>
        <w:t>20.6 表单模板管理</w:t>
      </w:r>
      <w:r>
        <w:tab/>
      </w:r>
      <w:r>
        <w:fldChar w:fldCharType="begin"/>
      </w:r>
      <w:r>
        <w:instrText xml:space="preserve"> PAGEREF _Toc24424 \h </w:instrText>
      </w:r>
      <w:r>
        <w:fldChar w:fldCharType="separate"/>
      </w:r>
      <w:r>
        <w:t>48</w:t>
      </w:r>
      <w:r>
        <w:fldChar w:fldCharType="end"/>
      </w:r>
      <w:r>
        <w:fldChar w:fldCharType="end"/>
      </w:r>
    </w:p>
    <w:p>
      <w:pPr>
        <w:pStyle w:val="26"/>
        <w:tabs>
          <w:tab w:val="right" w:leader="dot" w:pos="9411"/>
        </w:tabs>
      </w:pPr>
      <w:r>
        <w:fldChar w:fldCharType="begin"/>
      </w:r>
      <w:r>
        <w:instrText xml:space="preserve"> HYPERLINK \l _Toc21996 </w:instrText>
      </w:r>
      <w:r>
        <w:fldChar w:fldCharType="separate"/>
      </w:r>
      <w:r>
        <w:rPr>
          <w:rFonts w:ascii="微软雅黑" w:hAnsi="微软雅黑" w:eastAsia="微软雅黑"/>
          <w:i w:val="0"/>
        </w:rPr>
        <w:t>21. 流程审批中心</w:t>
      </w:r>
      <w:r>
        <w:tab/>
      </w:r>
      <w:r>
        <w:fldChar w:fldCharType="begin"/>
      </w:r>
      <w:r>
        <w:instrText xml:space="preserve"> PAGEREF _Toc21996 \h </w:instrText>
      </w:r>
      <w:r>
        <w:fldChar w:fldCharType="separate"/>
      </w:r>
      <w:r>
        <w:t>49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_Toc1194 </w:instrText>
      </w:r>
      <w:r>
        <w:fldChar w:fldCharType="separate"/>
      </w:r>
      <w:r>
        <w:rPr>
          <w:rFonts w:ascii="微软雅黑" w:hAnsi="微软雅黑" w:eastAsia="微软雅黑"/>
          <w:i w:val="0"/>
        </w:rPr>
        <w:t>21.1 我的待办</w:t>
      </w:r>
      <w:r>
        <w:tab/>
      </w:r>
      <w:r>
        <w:fldChar w:fldCharType="begin"/>
      </w:r>
      <w:r>
        <w:instrText xml:space="preserve"> PAGEREF _Toc1194 \h </w:instrText>
      </w:r>
      <w:r>
        <w:fldChar w:fldCharType="separate"/>
      </w:r>
      <w:r>
        <w:t>49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_Toc23680 </w:instrText>
      </w:r>
      <w:r>
        <w:fldChar w:fldCharType="separate"/>
      </w:r>
      <w:r>
        <w:rPr>
          <w:rFonts w:ascii="微软雅黑" w:hAnsi="微软雅黑" w:eastAsia="微软雅黑"/>
          <w:i w:val="0"/>
        </w:rPr>
        <w:t>21.2 我的已办</w:t>
      </w:r>
      <w:r>
        <w:tab/>
      </w:r>
      <w:r>
        <w:fldChar w:fldCharType="begin"/>
      </w:r>
      <w:r>
        <w:instrText xml:space="preserve"> PAGEREF _Toc23680 \h </w:instrText>
      </w:r>
      <w:r>
        <w:fldChar w:fldCharType="separate"/>
      </w:r>
      <w:r>
        <w:t>49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_Toc6138 </w:instrText>
      </w:r>
      <w:r>
        <w:fldChar w:fldCharType="separate"/>
      </w:r>
      <w:r>
        <w:rPr>
          <w:rFonts w:ascii="微软雅黑" w:hAnsi="微软雅黑" w:eastAsia="微软雅黑"/>
          <w:i w:val="0"/>
        </w:rPr>
        <w:t>21.3 我发起的流程</w:t>
      </w:r>
      <w:r>
        <w:tab/>
      </w:r>
      <w:r>
        <w:fldChar w:fldCharType="begin"/>
      </w:r>
      <w:r>
        <w:instrText xml:space="preserve"> PAGEREF _Toc6138 \h </w:instrText>
      </w:r>
      <w:r>
        <w:fldChar w:fldCharType="separate"/>
      </w:r>
      <w:r>
        <w:t>49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_Toc3855 </w:instrText>
      </w:r>
      <w:r>
        <w:fldChar w:fldCharType="separate"/>
      </w:r>
      <w:r>
        <w:rPr>
          <w:rFonts w:ascii="微软雅黑" w:hAnsi="微软雅黑" w:eastAsia="微软雅黑"/>
          <w:i w:val="0"/>
        </w:rPr>
        <w:t>21.4 流程状态</w:t>
      </w:r>
      <w:r>
        <w:tab/>
      </w:r>
      <w:r>
        <w:fldChar w:fldCharType="begin"/>
      </w:r>
      <w:r>
        <w:instrText xml:space="preserve"> PAGEREF _Toc3855 \h </w:instrText>
      </w:r>
      <w:r>
        <w:fldChar w:fldCharType="separate"/>
      </w:r>
      <w:r>
        <w:t>49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_Toc5624 </w:instrText>
      </w:r>
      <w:r>
        <w:fldChar w:fldCharType="separate"/>
      </w:r>
      <w:r>
        <w:rPr>
          <w:rFonts w:ascii="微软雅黑" w:hAnsi="微软雅黑" w:eastAsia="微软雅黑"/>
          <w:i w:val="0"/>
        </w:rPr>
        <w:t>21.5 流程定义管理</w:t>
      </w:r>
      <w:r>
        <w:tab/>
      </w:r>
      <w:r>
        <w:fldChar w:fldCharType="begin"/>
      </w:r>
      <w:r>
        <w:instrText xml:space="preserve"> PAGEREF _Toc5624 \h </w:instrText>
      </w:r>
      <w:r>
        <w:fldChar w:fldCharType="separate"/>
      </w:r>
      <w:r>
        <w:t>50</w:t>
      </w:r>
      <w:r>
        <w:fldChar w:fldCharType="end"/>
      </w:r>
      <w:r>
        <w:fldChar w:fldCharType="end"/>
      </w:r>
    </w:p>
    <w:p>
      <w:pPr>
        <w:pStyle w:val="26"/>
        <w:tabs>
          <w:tab w:val="right" w:leader="dot" w:pos="9411"/>
        </w:tabs>
      </w:pPr>
      <w:r>
        <w:fldChar w:fldCharType="begin"/>
      </w:r>
      <w:r>
        <w:instrText xml:space="preserve"> HYPERLINK \l _Toc17074 </w:instrText>
      </w:r>
      <w:r>
        <w:fldChar w:fldCharType="separate"/>
      </w:r>
      <w:r>
        <w:rPr>
          <w:rFonts w:ascii="微软雅黑" w:hAnsi="微软雅黑" w:eastAsia="微软雅黑"/>
          <w:i w:val="0"/>
        </w:rPr>
        <w:t>22. 产品电子手册</w:t>
      </w:r>
      <w:r>
        <w:tab/>
      </w:r>
      <w:r>
        <w:fldChar w:fldCharType="begin"/>
      </w:r>
      <w:r>
        <w:instrText xml:space="preserve"> PAGEREF _Toc17074 \h </w:instrText>
      </w:r>
      <w:r>
        <w:fldChar w:fldCharType="separate"/>
      </w:r>
      <w:r>
        <w:t>50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_Toc9812 </w:instrText>
      </w:r>
      <w:r>
        <w:fldChar w:fldCharType="separate"/>
      </w:r>
      <w:r>
        <w:rPr>
          <w:rFonts w:ascii="微软雅黑" w:hAnsi="微软雅黑" w:eastAsia="微软雅黑"/>
          <w:i w:val="0"/>
        </w:rPr>
        <w:t>22.1 公开浏览</w:t>
      </w:r>
      <w:r>
        <w:tab/>
      </w:r>
      <w:r>
        <w:fldChar w:fldCharType="begin"/>
      </w:r>
      <w:r>
        <w:instrText xml:space="preserve"> PAGEREF _Toc9812 \h </w:instrText>
      </w:r>
      <w:r>
        <w:fldChar w:fldCharType="separate"/>
      </w:r>
      <w:r>
        <w:t>50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_Toc29554 </w:instrText>
      </w:r>
      <w:r>
        <w:fldChar w:fldCharType="separate"/>
      </w:r>
      <w:r>
        <w:rPr>
          <w:rFonts w:ascii="微软雅黑" w:hAnsi="微软雅黑" w:eastAsia="微软雅黑"/>
          <w:i w:val="0"/>
        </w:rPr>
        <w:t>22.2 会员登录</w:t>
      </w:r>
      <w:r>
        <w:tab/>
      </w:r>
      <w:r>
        <w:fldChar w:fldCharType="begin"/>
      </w:r>
      <w:r>
        <w:instrText xml:space="preserve"> PAGEREF _Toc29554 \h </w:instrText>
      </w:r>
      <w:r>
        <w:fldChar w:fldCharType="separate"/>
      </w:r>
      <w:r>
        <w:t>50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_Toc17339 </w:instrText>
      </w:r>
      <w:r>
        <w:fldChar w:fldCharType="separate"/>
      </w:r>
      <w:r>
        <w:rPr>
          <w:rFonts w:ascii="微软雅黑" w:hAnsi="微软雅黑" w:eastAsia="微软雅黑"/>
          <w:i w:val="0"/>
        </w:rPr>
        <w:t>22.3 产品详情与下载</w:t>
      </w:r>
      <w:r>
        <w:tab/>
      </w:r>
      <w:r>
        <w:fldChar w:fldCharType="begin"/>
      </w:r>
      <w:r>
        <w:instrText xml:space="preserve"> PAGEREF _Toc17339 \h </w:instrText>
      </w:r>
      <w:r>
        <w:fldChar w:fldCharType="separate"/>
      </w:r>
      <w:r>
        <w:t>50</w:t>
      </w:r>
      <w:r>
        <w:fldChar w:fldCharType="end"/>
      </w:r>
      <w:r>
        <w:fldChar w:fldCharType="end"/>
      </w:r>
    </w:p>
    <w:p>
      <w:pPr>
        <w:pStyle w:val="26"/>
        <w:tabs>
          <w:tab w:val="right" w:leader="dot" w:pos="9411"/>
        </w:tabs>
      </w:pPr>
      <w:r>
        <w:fldChar w:fldCharType="begin"/>
      </w:r>
      <w:r>
        <w:instrText xml:space="preserve"> HYPERLINK \l _Toc3302 </w:instrText>
      </w:r>
      <w:r>
        <w:fldChar w:fldCharType="separate"/>
      </w:r>
      <w:r>
        <w:rPr>
          <w:rFonts w:ascii="微软雅黑" w:hAnsi="微软雅黑" w:eastAsia="微软雅黑"/>
          <w:i w:val="0"/>
        </w:rPr>
        <w:t>23. 通知与个人中心</w:t>
      </w:r>
      <w:r>
        <w:tab/>
      </w:r>
      <w:r>
        <w:fldChar w:fldCharType="begin"/>
      </w:r>
      <w:r>
        <w:instrText xml:space="preserve"> PAGEREF _Toc3302 \h </w:instrText>
      </w:r>
      <w:r>
        <w:fldChar w:fldCharType="separate"/>
      </w:r>
      <w:r>
        <w:t>51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_Toc8324 </w:instrText>
      </w:r>
      <w:r>
        <w:fldChar w:fldCharType="separate"/>
      </w:r>
      <w:r>
        <w:rPr>
          <w:rFonts w:ascii="微软雅黑" w:hAnsi="微软雅黑" w:eastAsia="微软雅黑"/>
          <w:i w:val="0"/>
        </w:rPr>
        <w:t>23.1 通知</w:t>
      </w:r>
      <w:r>
        <w:tab/>
      </w:r>
      <w:r>
        <w:fldChar w:fldCharType="begin"/>
      </w:r>
      <w:r>
        <w:instrText xml:space="preserve"> PAGEREF _Toc8324 \h </w:instrText>
      </w:r>
      <w:r>
        <w:fldChar w:fldCharType="separate"/>
      </w:r>
      <w:r>
        <w:t>51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_Toc188 </w:instrText>
      </w:r>
      <w:r>
        <w:fldChar w:fldCharType="separate"/>
      </w:r>
      <w:r>
        <w:rPr>
          <w:rFonts w:ascii="微软雅黑" w:hAnsi="微软雅黑" w:eastAsia="微软雅黑"/>
          <w:i w:val="0"/>
        </w:rPr>
        <w:t>23.2 个人中心</w:t>
      </w:r>
      <w:r>
        <w:tab/>
      </w:r>
      <w:r>
        <w:fldChar w:fldCharType="begin"/>
      </w:r>
      <w:r>
        <w:instrText xml:space="preserve"> PAGEREF _Toc188 \h </w:instrText>
      </w:r>
      <w:r>
        <w:fldChar w:fldCharType="separate"/>
      </w:r>
      <w:r>
        <w:t>51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_Toc5517 </w:instrText>
      </w:r>
      <w:r>
        <w:fldChar w:fldCharType="separate"/>
      </w:r>
      <w:r>
        <w:rPr>
          <w:rFonts w:ascii="微软雅黑" w:hAnsi="微软雅黑" w:eastAsia="微软雅黑"/>
          <w:i w:val="0"/>
        </w:rPr>
        <w:t>23.3 修改密码</w:t>
      </w:r>
      <w:r>
        <w:tab/>
      </w:r>
      <w:r>
        <w:fldChar w:fldCharType="begin"/>
      </w:r>
      <w:r>
        <w:instrText xml:space="preserve"> PAGEREF _Toc5517 \h </w:instrText>
      </w:r>
      <w:r>
        <w:fldChar w:fldCharType="separate"/>
      </w:r>
      <w:r>
        <w:t>51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_Toc25242 </w:instrText>
      </w:r>
      <w:r>
        <w:fldChar w:fldCharType="separate"/>
      </w:r>
      <w:r>
        <w:rPr>
          <w:rFonts w:ascii="微软雅黑" w:hAnsi="微软雅黑" w:eastAsia="微软雅黑"/>
          <w:i w:val="0"/>
        </w:rPr>
        <w:t>23.4 退出登录</w:t>
      </w:r>
      <w:r>
        <w:tab/>
      </w:r>
      <w:r>
        <w:fldChar w:fldCharType="begin"/>
      </w:r>
      <w:r>
        <w:instrText xml:space="preserve"> PAGEREF _Toc25242 \h </w:instrText>
      </w:r>
      <w:r>
        <w:fldChar w:fldCharType="separate"/>
      </w:r>
      <w:r>
        <w:t>52</w:t>
      </w:r>
      <w:r>
        <w:fldChar w:fldCharType="end"/>
      </w:r>
      <w:r>
        <w:fldChar w:fldCharType="end"/>
      </w:r>
    </w:p>
    <w:p>
      <w:pPr>
        <w:pStyle w:val="26"/>
        <w:tabs>
          <w:tab w:val="right" w:leader="dot" w:pos="9411"/>
        </w:tabs>
      </w:pPr>
      <w:r>
        <w:fldChar w:fldCharType="begin"/>
      </w:r>
      <w:r>
        <w:instrText xml:space="preserve"> HYPERLINK \l _Toc5408 </w:instrText>
      </w:r>
      <w:r>
        <w:fldChar w:fldCharType="separate"/>
      </w:r>
      <w:r>
        <w:rPr>
          <w:rFonts w:ascii="微软雅黑" w:hAnsi="微软雅黑" w:eastAsia="微软雅黑"/>
          <w:i w:val="0"/>
        </w:rPr>
        <w:t>24. 系统管理</w:t>
      </w:r>
      <w:r>
        <w:tab/>
      </w:r>
      <w:r>
        <w:fldChar w:fldCharType="begin"/>
      </w:r>
      <w:r>
        <w:instrText xml:space="preserve"> PAGEREF _Toc5408 \h </w:instrText>
      </w:r>
      <w:r>
        <w:fldChar w:fldCharType="separate"/>
      </w:r>
      <w:r>
        <w:t>52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_Toc15355 </w:instrText>
      </w:r>
      <w:r>
        <w:fldChar w:fldCharType="separate"/>
      </w:r>
      <w:r>
        <w:rPr>
          <w:rFonts w:ascii="微软雅黑" w:hAnsi="微软雅黑" w:eastAsia="微软雅黑"/>
          <w:i w:val="0"/>
        </w:rPr>
        <w:t>24.1 常用配置</w:t>
      </w:r>
      <w:r>
        <w:tab/>
      </w:r>
      <w:r>
        <w:fldChar w:fldCharType="begin"/>
      </w:r>
      <w:r>
        <w:instrText xml:space="preserve"> PAGEREF _Toc15355 \h </w:instrText>
      </w:r>
      <w:r>
        <w:fldChar w:fldCharType="separate"/>
      </w:r>
      <w:r>
        <w:t>52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_Toc10710 </w:instrText>
      </w:r>
      <w:r>
        <w:fldChar w:fldCharType="separate"/>
      </w:r>
      <w:r>
        <w:rPr>
          <w:rFonts w:ascii="微软雅黑" w:hAnsi="微软雅黑" w:eastAsia="微软雅黑"/>
          <w:i w:val="0"/>
        </w:rPr>
        <w:t>24.2 新用户授权建议</w:t>
      </w:r>
      <w:r>
        <w:tab/>
      </w:r>
      <w:r>
        <w:fldChar w:fldCharType="begin"/>
      </w:r>
      <w:r>
        <w:instrText xml:space="preserve"> PAGEREF _Toc10710 \h </w:instrText>
      </w:r>
      <w:r>
        <w:fldChar w:fldCharType="separate"/>
      </w:r>
      <w:r>
        <w:t>52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_Toc8174 </w:instrText>
      </w:r>
      <w:r>
        <w:fldChar w:fldCharType="separate"/>
      </w:r>
      <w:r>
        <w:rPr>
          <w:rFonts w:ascii="微软雅黑" w:hAnsi="微软雅黑" w:eastAsia="微软雅黑"/>
          <w:i w:val="0"/>
        </w:rPr>
        <w:t>24.3 配置变更注意事项</w:t>
      </w:r>
      <w:r>
        <w:tab/>
      </w:r>
      <w:r>
        <w:fldChar w:fldCharType="begin"/>
      </w:r>
      <w:r>
        <w:instrText xml:space="preserve"> PAGEREF _Toc8174 \h </w:instrText>
      </w:r>
      <w:r>
        <w:fldChar w:fldCharType="separate"/>
      </w:r>
      <w:r>
        <w:t>53</w:t>
      </w:r>
      <w:r>
        <w:fldChar w:fldCharType="end"/>
      </w:r>
      <w:r>
        <w:fldChar w:fldCharType="end"/>
      </w:r>
    </w:p>
    <w:p>
      <w:pPr>
        <w:pStyle w:val="26"/>
        <w:tabs>
          <w:tab w:val="right" w:leader="dot" w:pos="9411"/>
        </w:tabs>
      </w:pPr>
      <w:r>
        <w:fldChar w:fldCharType="begin"/>
      </w:r>
      <w:r>
        <w:instrText xml:space="preserve"> HYPERLINK \l _Toc2522 </w:instrText>
      </w:r>
      <w:r>
        <w:fldChar w:fldCharType="separate"/>
      </w:r>
      <w:r>
        <w:rPr>
          <w:rFonts w:ascii="微软雅黑" w:hAnsi="微软雅黑" w:eastAsia="微软雅黑"/>
          <w:i w:val="0"/>
        </w:rPr>
        <w:t>25. 状态速查</w:t>
      </w:r>
      <w:r>
        <w:tab/>
      </w:r>
      <w:r>
        <w:fldChar w:fldCharType="begin"/>
      </w:r>
      <w:r>
        <w:instrText xml:space="preserve"> PAGEREF _Toc2522 \h </w:instrText>
      </w:r>
      <w:r>
        <w:fldChar w:fldCharType="separate"/>
      </w:r>
      <w:r>
        <w:t>53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_Toc1513 </w:instrText>
      </w:r>
      <w:r>
        <w:fldChar w:fldCharType="separate"/>
      </w:r>
      <w:r>
        <w:rPr>
          <w:rFonts w:ascii="微软雅黑" w:hAnsi="微软雅黑" w:eastAsia="微软雅黑"/>
          <w:i w:val="0"/>
        </w:rPr>
        <w:t>25.1 项目节点</w:t>
      </w:r>
      <w:r>
        <w:tab/>
      </w:r>
      <w:r>
        <w:fldChar w:fldCharType="begin"/>
      </w:r>
      <w:r>
        <w:instrText xml:space="preserve"> PAGEREF _Toc1513 \h </w:instrText>
      </w:r>
      <w:r>
        <w:fldChar w:fldCharType="separate"/>
      </w:r>
      <w:r>
        <w:t>53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_Toc18680 </w:instrText>
      </w:r>
      <w:r>
        <w:fldChar w:fldCharType="separate"/>
      </w:r>
      <w:r>
        <w:rPr>
          <w:rFonts w:ascii="微软雅黑" w:hAnsi="微软雅黑" w:eastAsia="微软雅黑"/>
          <w:i w:val="0"/>
        </w:rPr>
        <w:t>25.2 工单与生产任务</w:t>
      </w:r>
      <w:r>
        <w:tab/>
      </w:r>
      <w:r>
        <w:fldChar w:fldCharType="begin"/>
      </w:r>
      <w:r>
        <w:instrText xml:space="preserve"> PAGEREF _Toc18680 \h </w:instrText>
      </w:r>
      <w:r>
        <w:fldChar w:fldCharType="separate"/>
      </w:r>
      <w:r>
        <w:t>54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_Toc27655 </w:instrText>
      </w:r>
      <w:r>
        <w:fldChar w:fldCharType="separate"/>
      </w:r>
      <w:r>
        <w:rPr>
          <w:rFonts w:ascii="微软雅黑" w:hAnsi="微软雅黑" w:eastAsia="微软雅黑"/>
          <w:i w:val="0"/>
        </w:rPr>
        <w:t>25.3 审批</w:t>
      </w:r>
      <w:r>
        <w:tab/>
      </w:r>
      <w:r>
        <w:fldChar w:fldCharType="begin"/>
      </w:r>
      <w:r>
        <w:instrText xml:space="preserve"> PAGEREF _Toc27655 \h </w:instrText>
      </w:r>
      <w:r>
        <w:fldChar w:fldCharType="separate"/>
      </w:r>
      <w:r>
        <w:t>54</w:t>
      </w:r>
      <w:r>
        <w:fldChar w:fldCharType="end"/>
      </w:r>
      <w:r>
        <w:fldChar w:fldCharType="end"/>
      </w:r>
    </w:p>
    <w:p>
      <w:pPr>
        <w:pStyle w:val="26"/>
        <w:tabs>
          <w:tab w:val="right" w:leader="dot" w:pos="9411"/>
        </w:tabs>
      </w:pPr>
      <w:r>
        <w:fldChar w:fldCharType="begin"/>
      </w:r>
      <w:r>
        <w:instrText xml:space="preserve"> HYPERLINK \l _Toc18517 </w:instrText>
      </w:r>
      <w:r>
        <w:fldChar w:fldCharType="separate"/>
      </w:r>
      <w:r>
        <w:rPr>
          <w:rFonts w:ascii="微软雅黑" w:hAnsi="微软雅黑" w:eastAsia="微软雅黑"/>
          <w:i w:val="0"/>
        </w:rPr>
        <w:t>26. 常见问题</w:t>
      </w:r>
      <w:r>
        <w:tab/>
      </w:r>
      <w:r>
        <w:fldChar w:fldCharType="begin"/>
      </w:r>
      <w:r>
        <w:instrText xml:space="preserve"> PAGEREF _Toc18517 \h </w:instrText>
      </w:r>
      <w:r>
        <w:fldChar w:fldCharType="separate"/>
      </w:r>
      <w:r>
        <w:t>55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_Toc1134 </w:instrText>
      </w:r>
      <w:r>
        <w:fldChar w:fldCharType="separate"/>
      </w:r>
      <w:r>
        <w:rPr>
          <w:rFonts w:ascii="微软雅黑" w:hAnsi="微软雅黑" w:eastAsia="微软雅黑"/>
          <w:i w:val="0"/>
        </w:rPr>
        <w:t>26.1 为什么看不到某个菜单或按钮？</w:t>
      </w:r>
      <w:r>
        <w:tab/>
      </w:r>
      <w:r>
        <w:fldChar w:fldCharType="begin"/>
      </w:r>
      <w:r>
        <w:instrText xml:space="preserve"> PAGEREF _Toc1134 \h </w:instrText>
      </w:r>
      <w:r>
        <w:fldChar w:fldCharType="separate"/>
      </w:r>
      <w:r>
        <w:t>55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_Toc14538 </w:instrText>
      </w:r>
      <w:r>
        <w:fldChar w:fldCharType="separate"/>
      </w:r>
      <w:r>
        <w:rPr>
          <w:rFonts w:ascii="微软雅黑" w:hAnsi="微软雅黑" w:eastAsia="微软雅黑"/>
          <w:i w:val="0"/>
        </w:rPr>
        <w:t>26.2 为什么能看详情但不能编辑？</w:t>
      </w:r>
      <w:r>
        <w:tab/>
      </w:r>
      <w:r>
        <w:fldChar w:fldCharType="begin"/>
      </w:r>
      <w:r>
        <w:instrText xml:space="preserve"> PAGEREF _Toc14538 \h </w:instrText>
      </w:r>
      <w:r>
        <w:fldChar w:fldCharType="separate"/>
      </w:r>
      <w:r>
        <w:t>55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_Toc3761 </w:instrText>
      </w:r>
      <w:r>
        <w:fldChar w:fldCharType="separate"/>
      </w:r>
      <w:r>
        <w:rPr>
          <w:rFonts w:ascii="微软雅黑" w:hAnsi="微软雅黑" w:eastAsia="微软雅黑"/>
          <w:i w:val="0"/>
        </w:rPr>
        <w:t>26.3 为什么配方不能增删版本？</w:t>
      </w:r>
      <w:r>
        <w:tab/>
      </w:r>
      <w:r>
        <w:fldChar w:fldCharType="begin"/>
      </w:r>
      <w:r>
        <w:instrText xml:space="preserve"> PAGEREF _Toc3761 \h </w:instrText>
      </w:r>
      <w:r>
        <w:fldChar w:fldCharType="separate"/>
      </w:r>
      <w:r>
        <w:t>55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_Toc27959 </w:instrText>
      </w:r>
      <w:r>
        <w:fldChar w:fldCharType="separate"/>
      </w:r>
      <w:r>
        <w:rPr>
          <w:rFonts w:ascii="微软雅黑" w:hAnsi="微软雅黑" w:eastAsia="微软雅黑"/>
          <w:i w:val="0"/>
        </w:rPr>
        <w:t>26.4 为什么项目编辑后页面内容没有立即变化？</w:t>
      </w:r>
      <w:r>
        <w:tab/>
      </w:r>
      <w:r>
        <w:fldChar w:fldCharType="begin"/>
      </w:r>
      <w:r>
        <w:instrText xml:space="preserve"> PAGEREF _Toc27959 \h </w:instrText>
      </w:r>
      <w:r>
        <w:fldChar w:fldCharType="separate"/>
      </w:r>
      <w:r>
        <w:t>55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_Toc17765 </w:instrText>
      </w:r>
      <w:r>
        <w:fldChar w:fldCharType="separate"/>
      </w:r>
      <w:r>
        <w:rPr>
          <w:rFonts w:ascii="微软雅黑" w:hAnsi="微软雅黑" w:eastAsia="微软雅黑"/>
          <w:i w:val="0"/>
        </w:rPr>
        <w:t>26.5 为什么测试结果不能填写？</w:t>
      </w:r>
      <w:r>
        <w:tab/>
      </w:r>
      <w:r>
        <w:fldChar w:fldCharType="begin"/>
      </w:r>
      <w:r>
        <w:instrText xml:space="preserve"> PAGEREF _Toc17765 \h </w:instrText>
      </w:r>
      <w:r>
        <w:fldChar w:fldCharType="separate"/>
      </w:r>
      <w:r>
        <w:t>55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_Toc25672 </w:instrText>
      </w:r>
      <w:r>
        <w:fldChar w:fldCharType="separate"/>
      </w:r>
      <w:r>
        <w:rPr>
          <w:rFonts w:ascii="微软雅黑" w:hAnsi="微软雅黑" w:eastAsia="微软雅黑"/>
          <w:i w:val="0"/>
        </w:rPr>
        <w:t>26.6 为什么下拉框搜不到用户或资料？</w:t>
      </w:r>
      <w:r>
        <w:tab/>
      </w:r>
      <w:r>
        <w:fldChar w:fldCharType="begin"/>
      </w:r>
      <w:r>
        <w:instrText xml:space="preserve"> PAGEREF _Toc25672 \h </w:instrText>
      </w:r>
      <w:r>
        <w:fldChar w:fldCharType="separate"/>
      </w:r>
      <w:r>
        <w:t>55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_Toc18760 </w:instrText>
      </w:r>
      <w:r>
        <w:fldChar w:fldCharType="separate"/>
      </w:r>
      <w:r>
        <w:rPr>
          <w:rFonts w:ascii="微软雅黑" w:hAnsi="微软雅黑" w:eastAsia="微软雅黑"/>
          <w:i w:val="0"/>
        </w:rPr>
        <w:t>26.7 为什么成本为空或不准确？</w:t>
      </w:r>
      <w:r>
        <w:tab/>
      </w:r>
      <w:r>
        <w:fldChar w:fldCharType="begin"/>
      </w:r>
      <w:r>
        <w:instrText xml:space="preserve"> PAGEREF _Toc18760 \h </w:instrText>
      </w:r>
      <w:r>
        <w:fldChar w:fldCharType="separate"/>
      </w:r>
      <w:r>
        <w:t>56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_Toc28032 </w:instrText>
      </w:r>
      <w:r>
        <w:fldChar w:fldCharType="separate"/>
      </w:r>
      <w:r>
        <w:rPr>
          <w:rFonts w:ascii="微软雅黑" w:hAnsi="微软雅黑" w:eastAsia="微软雅黑"/>
          <w:i w:val="0"/>
        </w:rPr>
        <w:t>26.8 为什么电子手册没有显示某个材料？</w:t>
      </w:r>
      <w:r>
        <w:tab/>
      </w:r>
      <w:r>
        <w:fldChar w:fldCharType="begin"/>
      </w:r>
      <w:r>
        <w:instrText xml:space="preserve"> PAGEREF _Toc28032 \h </w:instrText>
      </w:r>
      <w:r>
        <w:fldChar w:fldCharType="separate"/>
      </w:r>
      <w:r>
        <w:t>56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_Toc32419 </w:instrText>
      </w:r>
      <w:r>
        <w:fldChar w:fldCharType="separate"/>
      </w:r>
      <w:r>
        <w:rPr>
          <w:rFonts w:ascii="微软雅黑" w:hAnsi="微软雅黑" w:eastAsia="微软雅黑"/>
          <w:i w:val="0"/>
        </w:rPr>
        <w:t>26.9 为什么审批任务显示“待签收”？</w:t>
      </w:r>
      <w:r>
        <w:tab/>
      </w:r>
      <w:r>
        <w:fldChar w:fldCharType="begin"/>
      </w:r>
      <w:r>
        <w:instrText xml:space="preserve"> PAGEREF _Toc32419 \h </w:instrText>
      </w:r>
      <w:r>
        <w:fldChar w:fldCharType="separate"/>
      </w:r>
      <w:r>
        <w:t>56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_Toc11145 </w:instrText>
      </w:r>
      <w:r>
        <w:fldChar w:fldCharType="separate"/>
      </w:r>
      <w:r>
        <w:rPr>
          <w:rFonts w:ascii="微软雅黑" w:hAnsi="微软雅黑" w:eastAsia="微软雅黑"/>
          <w:i w:val="0"/>
        </w:rPr>
        <w:t>26.10 页面提示 403 或权限不足怎么办？</w:t>
      </w:r>
      <w:r>
        <w:tab/>
      </w:r>
      <w:r>
        <w:fldChar w:fldCharType="begin"/>
      </w:r>
      <w:r>
        <w:instrText xml:space="preserve"> PAGEREF _Toc11145 \h </w:instrText>
      </w:r>
      <w:r>
        <w:fldChar w:fldCharType="separate"/>
      </w:r>
      <w:r>
        <w:t>56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_Toc14040 </w:instrText>
      </w:r>
      <w:r>
        <w:fldChar w:fldCharType="separate"/>
      </w:r>
      <w:r>
        <w:rPr>
          <w:rFonts w:ascii="微软雅黑" w:hAnsi="微软雅黑" w:eastAsia="微软雅黑"/>
          <w:i w:val="0"/>
        </w:rPr>
        <w:t>26.11 上传失败怎么办？</w:t>
      </w:r>
      <w:r>
        <w:tab/>
      </w:r>
      <w:r>
        <w:fldChar w:fldCharType="begin"/>
      </w:r>
      <w:r>
        <w:instrText xml:space="preserve"> PAGEREF _Toc14040 \h </w:instrText>
      </w:r>
      <w:r>
        <w:fldChar w:fldCharType="separate"/>
      </w:r>
      <w:r>
        <w:t>56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_Toc1562 </w:instrText>
      </w:r>
      <w:r>
        <w:fldChar w:fldCharType="separate"/>
      </w:r>
      <w:r>
        <w:rPr>
          <w:rFonts w:ascii="微软雅黑" w:hAnsi="微软雅黑" w:eastAsia="微软雅黑"/>
          <w:i w:val="0"/>
        </w:rPr>
        <w:t>26.12 误操作后怎么办？</w:t>
      </w:r>
      <w:r>
        <w:tab/>
      </w:r>
      <w:r>
        <w:fldChar w:fldCharType="begin"/>
      </w:r>
      <w:r>
        <w:instrText xml:space="preserve"> PAGEREF _Toc1562 \h </w:instrText>
      </w:r>
      <w:r>
        <w:fldChar w:fldCharType="separate"/>
      </w:r>
      <w:r>
        <w:t>56</w:t>
      </w:r>
      <w:r>
        <w:fldChar w:fldCharType="end"/>
      </w:r>
      <w:r>
        <w:fldChar w:fldCharType="end"/>
      </w:r>
    </w:p>
    <w:p>
      <w:pPr>
        <w:pStyle w:val="26"/>
        <w:tabs>
          <w:tab w:val="right" w:leader="dot" w:pos="9411"/>
        </w:tabs>
      </w:pPr>
      <w:r>
        <w:fldChar w:fldCharType="begin"/>
      </w:r>
      <w:r>
        <w:instrText xml:space="preserve"> HYPERLINK \l _Toc3893 </w:instrText>
      </w:r>
      <w:r>
        <w:fldChar w:fldCharType="separate"/>
      </w:r>
      <w:r>
        <w:rPr>
          <w:rFonts w:ascii="微软雅黑" w:hAnsi="微软雅黑" w:eastAsia="微软雅黑"/>
          <w:i w:val="0"/>
        </w:rPr>
        <w:t>27. 操作检查清单</w:t>
      </w:r>
      <w:r>
        <w:tab/>
      </w:r>
      <w:r>
        <w:fldChar w:fldCharType="begin"/>
      </w:r>
      <w:r>
        <w:instrText xml:space="preserve"> PAGEREF _Toc3893 \h </w:instrText>
      </w:r>
      <w:r>
        <w:fldChar w:fldCharType="separate"/>
      </w:r>
      <w:r>
        <w:t>57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_Toc28657 </w:instrText>
      </w:r>
      <w:r>
        <w:fldChar w:fldCharType="separate"/>
      </w:r>
      <w:r>
        <w:rPr>
          <w:rFonts w:ascii="微软雅黑" w:hAnsi="微软雅黑" w:eastAsia="微软雅黑"/>
          <w:i w:val="0"/>
        </w:rPr>
        <w:t>27.1 发起项目前</w:t>
      </w:r>
      <w:r>
        <w:tab/>
      </w:r>
      <w:r>
        <w:fldChar w:fldCharType="begin"/>
      </w:r>
      <w:r>
        <w:instrText xml:space="preserve"> PAGEREF _Toc28657 \h </w:instrText>
      </w:r>
      <w:r>
        <w:fldChar w:fldCharType="separate"/>
      </w:r>
      <w:r>
        <w:t>57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_Toc30595 </w:instrText>
      </w:r>
      <w:r>
        <w:fldChar w:fldCharType="separate"/>
      </w:r>
      <w:r>
        <w:rPr>
          <w:rFonts w:ascii="微软雅黑" w:hAnsi="微软雅黑" w:eastAsia="微软雅黑"/>
          <w:i w:val="0"/>
        </w:rPr>
        <w:t>27.2 提交试产工单前</w:t>
      </w:r>
      <w:r>
        <w:tab/>
      </w:r>
      <w:r>
        <w:fldChar w:fldCharType="begin"/>
      </w:r>
      <w:r>
        <w:instrText xml:space="preserve"> PAGEREF _Toc30595 \h </w:instrText>
      </w:r>
      <w:r>
        <w:fldChar w:fldCharType="separate"/>
      </w:r>
      <w:r>
        <w:t>57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_Toc18864 </w:instrText>
      </w:r>
      <w:r>
        <w:fldChar w:fldCharType="separate"/>
      </w:r>
      <w:r>
        <w:rPr>
          <w:rFonts w:ascii="微软雅黑" w:hAnsi="微软雅黑" w:eastAsia="微软雅黑"/>
          <w:i w:val="0"/>
        </w:rPr>
        <w:t>27.3 完成挤出前</w:t>
      </w:r>
      <w:r>
        <w:tab/>
      </w:r>
      <w:r>
        <w:fldChar w:fldCharType="begin"/>
      </w:r>
      <w:r>
        <w:instrText xml:space="preserve"> PAGEREF _Toc18864 \h </w:instrText>
      </w:r>
      <w:r>
        <w:fldChar w:fldCharType="separate"/>
      </w:r>
      <w:r>
        <w:t>57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_Toc9706 </w:instrText>
      </w:r>
      <w:r>
        <w:fldChar w:fldCharType="separate"/>
      </w:r>
      <w:r>
        <w:rPr>
          <w:rFonts w:ascii="微软雅黑" w:hAnsi="微软雅黑" w:eastAsia="微软雅黑"/>
          <w:i w:val="0"/>
        </w:rPr>
        <w:t>27.4 完成注塑前</w:t>
      </w:r>
      <w:r>
        <w:tab/>
      </w:r>
      <w:r>
        <w:fldChar w:fldCharType="begin"/>
      </w:r>
      <w:r>
        <w:instrText xml:space="preserve"> PAGEREF _Toc9706 \h </w:instrText>
      </w:r>
      <w:r>
        <w:fldChar w:fldCharType="separate"/>
      </w:r>
      <w:r>
        <w:t>57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_Toc12455 </w:instrText>
      </w:r>
      <w:r>
        <w:fldChar w:fldCharType="separate"/>
      </w:r>
      <w:r>
        <w:rPr>
          <w:rFonts w:ascii="微软雅黑" w:hAnsi="微软雅黑" w:eastAsia="微软雅黑"/>
          <w:i w:val="0"/>
        </w:rPr>
        <w:t>27.5 回写测试结果前</w:t>
      </w:r>
      <w:r>
        <w:tab/>
      </w:r>
      <w:r>
        <w:fldChar w:fldCharType="begin"/>
      </w:r>
      <w:r>
        <w:instrText xml:space="preserve"> PAGEREF _Toc12455 \h </w:instrText>
      </w:r>
      <w:r>
        <w:fldChar w:fldCharType="separate"/>
      </w:r>
      <w:r>
        <w:t>58</w:t>
      </w:r>
      <w:r>
        <w:fldChar w:fldCharType="end"/>
      </w:r>
      <w:r>
        <w:fldChar w:fldCharType="end"/>
      </w:r>
    </w:p>
    <w:p>
      <w:pPr>
        <w:pStyle w:val="29"/>
        <w:tabs>
          <w:tab w:val="right" w:leader="dot" w:pos="9411"/>
        </w:tabs>
      </w:pPr>
      <w:r>
        <w:fldChar w:fldCharType="begin"/>
      </w:r>
      <w:r>
        <w:instrText xml:space="preserve"> HYPERLINK \l _Toc11043 </w:instrText>
      </w:r>
      <w:r>
        <w:fldChar w:fldCharType="separate"/>
      </w:r>
      <w:r>
        <w:rPr>
          <w:rFonts w:ascii="微软雅黑" w:hAnsi="微软雅黑" w:eastAsia="微软雅黑"/>
          <w:i w:val="0"/>
        </w:rPr>
        <w:t>27.6 发布材料前</w:t>
      </w:r>
      <w:r>
        <w:tab/>
      </w:r>
      <w:r>
        <w:fldChar w:fldCharType="begin"/>
      </w:r>
      <w:r>
        <w:instrText xml:space="preserve"> PAGEREF _Toc11043 \h </w:instrText>
      </w:r>
      <w:r>
        <w:fldChar w:fldCharType="separate"/>
      </w:r>
      <w:r>
        <w:t>58</w:t>
      </w:r>
      <w:r>
        <w:fldChar w:fldCharType="end"/>
      </w:r>
      <w:r>
        <w:fldChar w:fldCharType="end"/>
      </w:r>
    </w:p>
    <w:p>
      <w:r>
        <w:fldChar w:fldCharType="end"/>
      </w:r>
    </w:p>
    <w:p>
      <w:r>
        <w:br w:type="page"/>
      </w:r>
    </w:p>
    <w:p>
      <w:pPr>
        <w:pStyle w:val="3"/>
        <w:keepNext/>
        <w:keepLines/>
        <w:pBdr>
          <w:bottom w:val="single" w:color="2563EB" w:sz="12" w:space="1"/>
        </w:pBdr>
      </w:pPr>
      <w:bookmarkStart w:id="0" w:name="_Toc19476"/>
      <w:r>
        <w:rPr>
          <w:rFonts w:ascii="微软雅黑" w:hAnsi="微软雅黑" w:eastAsia="微软雅黑"/>
          <w:b/>
          <w:i w:val="0"/>
          <w:color w:val="2563EB"/>
          <w:sz w:val="36"/>
          <w:u w:val="none"/>
        </w:rPr>
        <w:t>1. 手册说明</w:t>
      </w:r>
      <w:bookmarkEnd w:id="0"/>
    </w:p>
    <w:p>
      <w:r>
        <w:rPr>
          <w:rFonts w:ascii="微软雅黑" w:hAnsi="微软雅黑" w:eastAsia="微软雅黑"/>
          <w:color w:val="1F2937"/>
          <w:sz w:val="21"/>
        </w:rPr>
        <w:t>本系统用于管理研发项目、客户档案、材料、实验配方、试验排产、配色、挤出、注塑、材料测试、动态表单及审批流程。</w:t>
      </w:r>
    </w:p>
    <w:p>
      <w:r>
        <w:rPr>
          <w:rFonts w:ascii="微软雅黑" w:hAnsi="微软雅黑" w:eastAsia="微软雅黑"/>
          <w:color w:val="1F2937"/>
          <w:sz w:val="21"/>
        </w:rPr>
        <w:t>本手册统一使用页面上的菜单、按钮和链接描述操作入口。示例：“左侧菜单‘项目管理中心’ → ‘项目列表’ → 点击项目名称”，用户无需输入或记忆系统地址。</w:t>
      </w:r>
    </w:p>
    <w:p>
      <w:r>
        <w:rPr>
          <w:rFonts w:ascii="微软雅黑" w:hAnsi="微软雅黑" w:eastAsia="微软雅黑"/>
          <w:color w:val="1F2937"/>
          <w:sz w:val="21"/>
        </w:rPr>
        <w:t>由于菜单和按钮按用户角色、权限等级、所属部门、工作组及数据归属动态显示，不同账号看到的内容可能不同。手册中出现但系统中未显示的入口，通常表示当前账号无权限、模块未启用或尚未配置相关基础数据。</w:t>
      </w:r>
    </w:p>
    <w:p>
      <w:pPr>
        <w:pStyle w:val="4"/>
        <w:keepNext/>
        <w:keepLines/>
      </w:pPr>
      <w:bookmarkStart w:id="1" w:name="_Toc10844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1.1 使用约定</w:t>
      </w:r>
      <w:bookmarkEnd w:id="1"/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 xml:space="preserve">带 </w:t>
      </w:r>
      <w:r>
        <w:rPr>
          <w:rFonts w:ascii="Consolas" w:hAnsi="Consolas" w:eastAsia="Consolas"/>
          <w:color w:val="B45309"/>
          <w:sz w:val="19"/>
          <w:shd w:val="clear" w:color="auto" w:fill="FFF7ED"/>
        </w:rPr>
        <w:t>*</w:t>
      </w:r>
      <w:r>
        <w:rPr>
          <w:rFonts w:ascii="微软雅黑" w:hAnsi="微软雅黑" w:eastAsia="微软雅黑"/>
          <w:color w:val="1F2937"/>
          <w:sz w:val="21"/>
        </w:rPr>
        <w:t xml:space="preserve"> 的字段为必填项。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“保存”通常只保存当前业务数据；“提交审批”会启动工作流。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删除、项目终止、手动完成并回写、SAP 入库等操作可能不可逆，请先核对对象和数据。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列表页的筛选、分页和搜索条件一般可组合使用。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表格中的名称、编号或“查看”图标通常可进入详情页。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页面提示条和弹窗中的错误信息是处理问题的首要依据。</w:t>
      </w:r>
    </w:p>
    <w:p>
      <w:pPr>
        <w:pBdr>
          <w:bottom w:val="single" w:color="CBD5E1" w:sz="8" w:space="1"/>
        </w:pBdr>
        <w:spacing w:after="100"/>
      </w:pPr>
    </w:p>
    <w:p>
      <w:pPr>
        <w:pStyle w:val="3"/>
        <w:keepNext/>
        <w:keepLines/>
        <w:pBdr>
          <w:bottom w:val="single" w:color="2563EB" w:sz="12" w:space="1"/>
        </w:pBdr>
      </w:pPr>
      <w:bookmarkStart w:id="2" w:name="_Toc21466"/>
      <w:r>
        <w:rPr>
          <w:rFonts w:ascii="微软雅黑" w:hAnsi="微软雅黑" w:eastAsia="微软雅黑"/>
          <w:b/>
          <w:i w:val="0"/>
          <w:color w:val="2563EB"/>
          <w:sz w:val="36"/>
          <w:u w:val="none"/>
        </w:rPr>
        <w:t>2. 模块关联与数据准备</w:t>
      </w:r>
      <w:bookmarkEnd w:id="2"/>
    </w:p>
    <w:p>
      <w:r>
        <w:rPr>
          <w:rFonts w:ascii="微软雅黑" w:hAnsi="微软雅黑" w:eastAsia="微软雅黑"/>
          <w:color w:val="1F2937"/>
          <w:sz w:val="21"/>
        </w:rPr>
        <w:t>本章用于回答“创建这条数据之前，系统中必须先有什么”。系统中的项目、配方、工单、任务和测试结果不是相互独立的数据；上游主数据缺失时，下游页面可能没有可选项，或者无法提交、审批和生成后续任务。</w:t>
      </w:r>
    </w:p>
    <w:p>
      <w:pPr>
        <w:pStyle w:val="4"/>
        <w:keepNext/>
        <w:keepLines/>
      </w:pPr>
      <w:bookmarkStart w:id="3" w:name="_Toc13780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2.1 关系符号与使用原则</w:t>
      </w:r>
      <w:bookmarkEnd w:id="3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7"/>
        <w:gridCol w:w="3137"/>
        <w:gridCol w:w="31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137" w:type="dxa"/>
            <w:shd w:val="clear" w:color="auto" w:fill="2563E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符号/规则</w:t>
            </w:r>
          </w:p>
        </w:tc>
        <w:tc>
          <w:tcPr>
            <w:tcW w:w="3137" w:type="dxa"/>
            <w:shd w:val="clear" w:color="auto" w:fill="2563E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含义</w:t>
            </w:r>
          </w:p>
        </w:tc>
        <w:tc>
          <w:tcPr>
            <w:tcW w:w="3137" w:type="dxa"/>
            <w:shd w:val="clear" w:color="auto" w:fill="2563E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业务示例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onsolas" w:hAnsi="Consolas" w:eastAsia="Consolas"/>
                <w:color w:val="B45309"/>
                <w:sz w:val="19"/>
                <w:shd w:val="clear" w:color="auto" w:fill="FFF7ED"/>
              </w:rPr>
              <w:t>1:1</w:t>
            </w:r>
          </w:p>
        </w:tc>
        <w:tc>
          <w:tcPr>
            <w:tcW w:w="31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一条数据只对应另一条数据</w:t>
            </w:r>
          </w:p>
        </w:tc>
        <w:tc>
          <w:tcPr>
            <w:tcW w:w="31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一个研发项目对应一个项目商务档案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7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onsolas" w:hAnsi="Consolas" w:eastAsia="Consolas"/>
                <w:color w:val="B45309"/>
                <w:sz w:val="19"/>
                <w:shd w:val="clear" w:color="auto" w:fill="FFF7ED"/>
              </w:rPr>
              <w:t>1:N</w:t>
            </w:r>
          </w:p>
        </w:tc>
        <w:tc>
          <w:tcPr>
            <w:tcW w:w="3137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一条主数据可以对应多条明细</w:t>
            </w:r>
          </w:p>
        </w:tc>
        <w:tc>
          <w:tcPr>
            <w:tcW w:w="3137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一个项目可以包含多个阶段节点和多个配方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onsolas" w:hAnsi="Consolas" w:eastAsia="Consolas"/>
                <w:color w:val="B45309"/>
                <w:sz w:val="19"/>
                <w:shd w:val="clear" w:color="auto" w:fill="FFF7ED"/>
              </w:rPr>
              <w:t>M:N</w:t>
            </w:r>
          </w:p>
        </w:tc>
        <w:tc>
          <w:tcPr>
            <w:tcW w:w="31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两边都可以关联多条数据</w:t>
            </w:r>
          </w:p>
        </w:tc>
        <w:tc>
          <w:tcPr>
            <w:tcW w:w="31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多个配方可以关联多个基础预研项目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7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必须前置</w:t>
            </w:r>
          </w:p>
        </w:tc>
        <w:tc>
          <w:tcPr>
            <w:tcW w:w="3137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页面保存或提交时必须存在</w:t>
            </w:r>
          </w:p>
        </w:tc>
        <w:tc>
          <w:tcPr>
            <w:tcW w:w="3137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配方 BOM 使用的原材料、工单使用的配方版本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建议前置</w:t>
            </w:r>
          </w:p>
        </w:tc>
        <w:tc>
          <w:tcPr>
            <w:tcW w:w="31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系统允许暂时不选，但会影响后续处理</w:t>
            </w:r>
          </w:p>
        </w:tc>
        <w:tc>
          <w:tcPr>
            <w:tcW w:w="31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工艺方案、模具、完整的组织信息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7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自动生成</w:t>
            </w:r>
          </w:p>
        </w:tc>
        <w:tc>
          <w:tcPr>
            <w:tcW w:w="3137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完成上一步后由系统产生</w:t>
            </w:r>
          </w:p>
        </w:tc>
        <w:tc>
          <w:tcPr>
            <w:tcW w:w="3137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工单发单后生成挤出、配色、注塑或测试任务</w:t>
            </w:r>
          </w:p>
        </w:tc>
      </w:tr>
    </w:tbl>
    <w:p>
      <w:pPr>
        <w:spacing w:after="0"/>
      </w:pPr>
    </w:p>
    <w:p>
      <w:r>
        <w:rPr>
          <w:rFonts w:ascii="微软雅黑" w:hAnsi="微软雅黑" w:eastAsia="微软雅黑"/>
          <w:color w:val="1F2937"/>
          <w:sz w:val="21"/>
        </w:rPr>
        <w:t>数据库关系中的删除规则会直接影响页面操作：</w:t>
      </w:r>
    </w:p>
    <w:p>
      <w:pPr>
        <w:pStyle w:val="16"/>
      </w:pPr>
      <w:r>
        <w:rPr>
          <w:rFonts w:ascii="Consolas" w:hAnsi="Consolas" w:eastAsia="Consolas"/>
          <w:color w:val="B45309"/>
          <w:sz w:val="19"/>
          <w:shd w:val="clear" w:color="auto" w:fill="FFF7ED"/>
        </w:rPr>
        <w:t>PROTECT</w:t>
      </w:r>
      <w:r>
        <w:rPr>
          <w:rFonts w:ascii="微软雅黑" w:hAnsi="微软雅黑" w:eastAsia="微软雅黑"/>
          <w:color w:val="1F2937"/>
          <w:sz w:val="21"/>
        </w:rPr>
        <w:t>：数据已经被业务记录引用，系统禁止直接删除，以保护历史数据。</w:t>
      </w:r>
    </w:p>
    <w:p>
      <w:pPr>
        <w:pStyle w:val="16"/>
      </w:pPr>
      <w:r>
        <w:rPr>
          <w:rFonts w:ascii="Consolas" w:hAnsi="Consolas" w:eastAsia="Consolas"/>
          <w:color w:val="B45309"/>
          <w:sz w:val="19"/>
          <w:shd w:val="clear" w:color="auto" w:fill="FFF7ED"/>
        </w:rPr>
        <w:t>SET_NULL</w:t>
      </w:r>
      <w:r>
        <w:rPr>
          <w:rFonts w:ascii="微软雅黑" w:hAnsi="微软雅黑" w:eastAsia="微软雅黑"/>
          <w:color w:val="1F2937"/>
          <w:sz w:val="21"/>
        </w:rPr>
        <w:t>：删除被关联的数据后，历史记录仍保留，但对应关联会显示为空。</w:t>
      </w:r>
    </w:p>
    <w:p>
      <w:pPr>
        <w:pStyle w:val="16"/>
      </w:pPr>
      <w:r>
        <w:rPr>
          <w:rFonts w:ascii="Consolas" w:hAnsi="Consolas" w:eastAsia="Consolas"/>
          <w:color w:val="B45309"/>
          <w:sz w:val="19"/>
          <w:shd w:val="clear" w:color="auto" w:fill="FFF7ED"/>
        </w:rPr>
        <w:t>CASCADE</w:t>
      </w:r>
      <w:r>
        <w:rPr>
          <w:rFonts w:ascii="微软雅黑" w:hAnsi="微软雅黑" w:eastAsia="微软雅黑"/>
          <w:color w:val="1F2937"/>
          <w:sz w:val="21"/>
        </w:rPr>
        <w:t>：删除主记录时，其专属明细同步删除，操作前必须确认影响范围。</w:t>
      </w:r>
    </w:p>
    <w:p>
      <w:r>
        <w:rPr>
          <w:rFonts w:ascii="微软雅黑" w:hAnsi="微软雅黑" w:eastAsia="微软雅黑"/>
          <w:color w:val="1F2937"/>
          <w:sz w:val="21"/>
        </w:rPr>
        <w:t>用户不需要记忆数据库字段名。遇到下拉框无数据或删除失败时，可根据本章先检查上游数据是否已创建、启用并在当前账号的数据范围内。</w:t>
      </w:r>
    </w:p>
    <w:p>
      <w:pPr>
        <w:pStyle w:val="4"/>
        <w:keepNext/>
        <w:keepLines/>
      </w:pPr>
      <w:bookmarkStart w:id="4" w:name="_Toc12858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2.2 模块依赖总览</w:t>
      </w:r>
      <w:bookmarkEnd w:id="4"/>
    </w:p>
    <w:p>
      <w:pPr>
        <w:spacing w:before="100" w:after="40"/>
        <w:jc w:val="center"/>
      </w:pPr>
      <w:r>
        <w:drawing>
          <wp:inline distT="0" distB="0" distL="114300" distR="114300">
            <wp:extent cx="5831840" cy="3710940"/>
            <wp:effectExtent l="0" t="0" r="508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711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before="0" w:after="180"/>
        <w:jc w:val="center"/>
      </w:pPr>
      <w:r>
        <w:rPr>
          <w:rFonts w:ascii="微软雅黑" w:hAnsi="微软雅黑" w:eastAsia="微软雅黑"/>
          <w:b/>
          <w:i w:val="0"/>
          <w:color w:val="2563EB"/>
          <w:sz w:val="18"/>
          <w:u w:val="none"/>
        </w:rPr>
        <w:t xml:space="preserve">图  </w:t>
      </w:r>
      <w:r>
        <w:rPr>
          <w:rFonts w:ascii="微软雅黑" w:hAnsi="微软雅黑" w:eastAsia="微软雅黑"/>
          <w:b w:val="0"/>
          <w:i w:val="0"/>
          <w:color w:val="64748B"/>
          <w:sz w:val="18"/>
          <w:u w:val="none"/>
        </w:rPr>
        <w:t>项目管理系统模块关联总览</w:t>
      </w:r>
    </w:p>
    <w:p>
      <w:r>
        <w:rPr>
          <w:rFonts w:ascii="微软雅黑" w:hAnsi="微软雅黑" w:eastAsia="微软雅黑"/>
          <w:color w:val="1F2937"/>
          <w:sz w:val="21"/>
        </w:rPr>
        <w:t>系统数据按四层关系组织：</w:t>
      </w:r>
    </w:p>
    <w:p>
      <w:pPr>
        <w:pStyle w:val="14"/>
      </w:pPr>
      <w:r>
        <w:rPr>
          <w:rFonts w:ascii="微软雅黑" w:hAnsi="微软雅黑" w:eastAsia="微软雅黑"/>
          <w:b/>
          <w:color w:val="1F2937"/>
          <w:sz w:val="21"/>
        </w:rPr>
        <w:t>基础数据层</w:t>
      </w:r>
      <w:r>
        <w:rPr>
          <w:rFonts w:ascii="微软雅黑" w:hAnsi="微软雅黑" w:eastAsia="微软雅黑"/>
          <w:color w:val="1F2937"/>
          <w:sz w:val="21"/>
        </w:rPr>
        <w:t>：组织权限、客户/OEM、材料标准、原材料、设备工艺、审批流程和表单模板，为后续业务提供可选项。</w:t>
      </w:r>
    </w:p>
    <w:p>
      <w:pPr>
        <w:pStyle w:val="14"/>
      </w:pPr>
      <w:r>
        <w:rPr>
          <w:rFonts w:ascii="微软雅黑" w:hAnsi="微软雅黑" w:eastAsia="微软雅黑"/>
          <w:b/>
          <w:color w:val="1F2937"/>
          <w:sz w:val="21"/>
        </w:rPr>
        <w:t>研发主数据层</w:t>
      </w:r>
      <w:r>
        <w:rPr>
          <w:rFonts w:ascii="微软雅黑" w:hAnsi="微软雅黑" w:eastAsia="微软雅黑"/>
          <w:color w:val="1F2937"/>
          <w:sz w:val="21"/>
        </w:rPr>
        <w:t>：项目商务档案、研发项目、阶段节点、实验配方和基础预研构成研发过程主链。</w:t>
      </w:r>
    </w:p>
    <w:p>
      <w:pPr>
        <w:pStyle w:val="14"/>
      </w:pPr>
      <w:r>
        <w:rPr>
          <w:rFonts w:ascii="微软雅黑" w:hAnsi="微软雅黑" w:eastAsia="微软雅黑"/>
          <w:b/>
          <w:color w:val="1F2937"/>
          <w:sz w:val="21"/>
        </w:rPr>
        <w:t>生产执行层</w:t>
      </w:r>
      <w:r>
        <w:rPr>
          <w:rFonts w:ascii="微软雅黑" w:hAnsi="微软雅黑" w:eastAsia="微软雅黑"/>
          <w:color w:val="1F2937"/>
          <w:sz w:val="21"/>
        </w:rPr>
        <w:t>：试产工单根据项目和配方生成配色、挤出、注塑与材料测试任务，并形成颗粒、样条和测试结果。</w:t>
      </w:r>
    </w:p>
    <w:p>
      <w:pPr>
        <w:pStyle w:val="14"/>
      </w:pPr>
      <w:r>
        <w:rPr>
          <w:rFonts w:ascii="微软雅黑" w:hAnsi="微软雅黑" w:eastAsia="微软雅黑"/>
          <w:b/>
          <w:color w:val="1F2937"/>
          <w:sz w:val="21"/>
        </w:rPr>
        <w:t>跨模块服务</w:t>
      </w:r>
      <w:r>
        <w:rPr>
          <w:rFonts w:ascii="微软雅黑" w:hAnsi="微软雅黑" w:eastAsia="微软雅黑"/>
          <w:color w:val="1F2937"/>
          <w:sz w:val="21"/>
        </w:rPr>
        <w:t>：工作流、动态表单、附件和通知可关联多个业务模块，不独立替代业务主数据。</w:t>
      </w:r>
    </w:p>
    <w:p>
      <w:pPr>
        <w:shd w:val="clear" w:fill="EAF2FF"/>
        <w:spacing w:before="80" w:after="160"/>
        <w:ind w:left="142" w:right="113"/>
      </w:pPr>
      <w:r>
        <w:rPr>
          <w:rFonts w:ascii="微软雅黑" w:hAnsi="微软雅黑" w:eastAsia="微软雅黑"/>
          <w:b/>
          <w:color w:val="2563EB"/>
          <w:sz w:val="19"/>
        </w:rPr>
        <w:t xml:space="preserve">说明  </w:t>
      </w:r>
      <w:r>
        <w:rPr>
          <w:rFonts w:ascii="微软雅黑" w:hAnsi="微软雅黑" w:eastAsia="微软雅黑"/>
          <w:color w:val="1F2937"/>
          <w:sz w:val="19"/>
        </w:rPr>
        <w:t>建议先完善基础数据，再创建项目和配方，最后发起试产。不要为解决“下拉框没有选项”而重复新建同名数据，应先检查权限、启用状态和数据归属。</w:t>
      </w:r>
    </w:p>
    <w:p>
      <w:pPr>
        <w:pStyle w:val="4"/>
        <w:keepNext/>
        <w:keepLines/>
      </w:pPr>
      <w:bookmarkStart w:id="5" w:name="_Toc23800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2.3 研发与配方数据关系</w:t>
      </w:r>
      <w:bookmarkEnd w:id="5"/>
    </w:p>
    <w:p>
      <w:pPr>
        <w:spacing w:before="100" w:after="40"/>
        <w:jc w:val="center"/>
      </w:pPr>
      <w:r>
        <w:drawing>
          <wp:inline distT="0" distB="0" distL="114300" distR="114300">
            <wp:extent cx="5831840" cy="3731895"/>
            <wp:effectExtent l="0" t="0" r="5080" b="19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73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before="0" w:after="180"/>
        <w:jc w:val="center"/>
      </w:pPr>
      <w:r>
        <w:rPr>
          <w:rFonts w:ascii="微软雅黑" w:hAnsi="微软雅黑" w:eastAsia="微软雅黑"/>
          <w:b/>
          <w:i w:val="0"/>
          <w:color w:val="2563EB"/>
          <w:sz w:val="18"/>
          <w:u w:val="none"/>
        </w:rPr>
        <w:t xml:space="preserve">图  </w:t>
      </w:r>
      <w:r>
        <w:rPr>
          <w:rFonts w:ascii="微软雅黑" w:hAnsi="微软雅黑" w:eastAsia="微软雅黑"/>
          <w:b w:val="0"/>
          <w:i w:val="0"/>
          <w:color w:val="64748B"/>
          <w:sz w:val="18"/>
          <w:u w:val="none"/>
        </w:rPr>
        <w:t>研发与配方核心数据关系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3"/>
        <w:gridCol w:w="2353"/>
        <w:gridCol w:w="2353"/>
        <w:gridCol w:w="235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353" w:type="dxa"/>
            <w:shd w:val="clear" w:color="auto" w:fill="2563E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主数据</w:t>
            </w:r>
          </w:p>
        </w:tc>
        <w:tc>
          <w:tcPr>
            <w:tcW w:w="2353" w:type="dxa"/>
            <w:shd w:val="clear" w:color="auto" w:fill="2563E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关联数据</w:t>
            </w:r>
          </w:p>
        </w:tc>
        <w:tc>
          <w:tcPr>
            <w:tcW w:w="2353" w:type="dxa"/>
            <w:shd w:val="clear" w:color="auto" w:fill="2563E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关系</w:t>
            </w:r>
          </w:p>
        </w:tc>
        <w:tc>
          <w:tcPr>
            <w:tcW w:w="2353" w:type="dxa"/>
            <w:shd w:val="clear" w:color="auto" w:fill="2563E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对用户操作的影响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 xml:space="preserve">研发项目 </w:t>
            </w:r>
            <w:r>
              <w:rPr>
                <w:rFonts w:ascii="Consolas" w:hAnsi="Consolas" w:eastAsia="Consolas"/>
                <w:color w:val="B45309"/>
                <w:sz w:val="19"/>
                <w:shd w:val="clear" w:color="auto" w:fill="FFF7ED"/>
              </w:rPr>
              <w:t>Project</w:t>
            </w:r>
          </w:p>
        </w:tc>
        <w:tc>
          <w:tcPr>
            <w:tcW w:w="235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 xml:space="preserve">项目商务档案 </w:t>
            </w:r>
            <w:r>
              <w:rPr>
                <w:rFonts w:ascii="Consolas" w:hAnsi="Consolas" w:eastAsia="Consolas"/>
                <w:color w:val="B45309"/>
                <w:sz w:val="19"/>
                <w:shd w:val="clear" w:color="auto" w:fill="FFF7ED"/>
              </w:rPr>
              <w:t>ProjectRepository</w:t>
            </w:r>
          </w:p>
        </w:tc>
        <w:tc>
          <w:tcPr>
            <w:tcW w:w="235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onsolas" w:hAnsi="Consolas" w:eastAsia="Consolas"/>
                <w:color w:val="B45309"/>
                <w:sz w:val="19"/>
                <w:shd w:val="clear" w:color="auto" w:fill="FFF7ED"/>
              </w:rPr>
              <w:t>1:1</w:t>
            </w:r>
          </w:p>
        </w:tc>
        <w:tc>
          <w:tcPr>
            <w:tcW w:w="235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客户、OEM、销售人员和商务信息通过项目档案维护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3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 xml:space="preserve">研发项目 </w:t>
            </w:r>
            <w:r>
              <w:rPr>
                <w:rFonts w:ascii="Consolas" w:hAnsi="Consolas" w:eastAsia="Consolas"/>
                <w:color w:val="B45309"/>
                <w:sz w:val="19"/>
                <w:shd w:val="clear" w:color="auto" w:fill="FFF7ED"/>
              </w:rPr>
              <w:t>Project</w:t>
            </w:r>
          </w:p>
        </w:tc>
        <w:tc>
          <w:tcPr>
            <w:tcW w:w="2353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 xml:space="preserve">项目阶段 </w:t>
            </w:r>
            <w:r>
              <w:rPr>
                <w:rFonts w:ascii="Consolas" w:hAnsi="Consolas" w:eastAsia="Consolas"/>
                <w:color w:val="B45309"/>
                <w:sz w:val="19"/>
                <w:shd w:val="clear" w:color="auto" w:fill="FFF7ED"/>
              </w:rPr>
              <w:t>ProjectNode</w:t>
            </w:r>
          </w:p>
        </w:tc>
        <w:tc>
          <w:tcPr>
            <w:tcW w:w="2353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onsolas" w:hAnsi="Consolas" w:eastAsia="Consolas"/>
                <w:color w:val="B45309"/>
                <w:sz w:val="19"/>
                <w:shd w:val="clear" w:color="auto" w:fill="FFF7ED"/>
              </w:rPr>
              <w:t>1:N</w:t>
            </w:r>
          </w:p>
        </w:tc>
        <w:tc>
          <w:tcPr>
            <w:tcW w:w="2353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项目推进时按阶段和轮次创建节点，配方和工单可归属具体节点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 xml:space="preserve">研发项目 </w:t>
            </w:r>
            <w:r>
              <w:rPr>
                <w:rFonts w:ascii="Consolas" w:hAnsi="Consolas" w:eastAsia="Consolas"/>
                <w:color w:val="B45309"/>
                <w:sz w:val="19"/>
                <w:shd w:val="clear" w:color="auto" w:fill="FFF7ED"/>
              </w:rPr>
              <w:t>Project</w:t>
            </w:r>
          </w:p>
        </w:tc>
        <w:tc>
          <w:tcPr>
            <w:tcW w:w="235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 xml:space="preserve">项目成员 </w:t>
            </w:r>
            <w:r>
              <w:rPr>
                <w:rFonts w:ascii="Consolas" w:hAnsi="Consolas" w:eastAsia="Consolas"/>
                <w:color w:val="B45309"/>
                <w:sz w:val="19"/>
                <w:shd w:val="clear" w:color="auto" w:fill="FFF7ED"/>
              </w:rPr>
              <w:t>ProjectMember</w:t>
            </w:r>
          </w:p>
        </w:tc>
        <w:tc>
          <w:tcPr>
            <w:tcW w:w="235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onsolas" w:hAnsi="Consolas" w:eastAsia="Consolas"/>
                <w:color w:val="B45309"/>
                <w:sz w:val="19"/>
                <w:shd w:val="clear" w:color="auto" w:fill="FFF7ED"/>
              </w:rPr>
              <w:t>1:N</w:t>
            </w:r>
          </w:p>
        </w:tc>
        <w:tc>
          <w:tcPr>
            <w:tcW w:w="235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负责人、研发成员和工作量分配影响数据权限与绩效统计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3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 xml:space="preserve">研发项目 </w:t>
            </w:r>
            <w:r>
              <w:rPr>
                <w:rFonts w:ascii="Consolas" w:hAnsi="Consolas" w:eastAsia="Consolas"/>
                <w:color w:val="B45309"/>
                <w:sz w:val="19"/>
                <w:shd w:val="clear" w:color="auto" w:fill="FFF7ED"/>
              </w:rPr>
              <w:t>Project</w:t>
            </w:r>
          </w:p>
        </w:tc>
        <w:tc>
          <w:tcPr>
            <w:tcW w:w="2353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 xml:space="preserve">实验配方 </w:t>
            </w:r>
            <w:r>
              <w:rPr>
                <w:rFonts w:ascii="Consolas" w:hAnsi="Consolas" w:eastAsia="Consolas"/>
                <w:color w:val="B45309"/>
                <w:sz w:val="19"/>
                <w:shd w:val="clear" w:color="auto" w:fill="FFF7ED"/>
              </w:rPr>
              <w:t>LabFormula</w:t>
            </w:r>
          </w:p>
        </w:tc>
        <w:tc>
          <w:tcPr>
            <w:tcW w:w="2353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onsolas" w:hAnsi="Consolas" w:eastAsia="Consolas"/>
                <w:color w:val="B45309"/>
                <w:sz w:val="19"/>
                <w:shd w:val="clear" w:color="auto" w:fill="FFF7ED"/>
              </w:rPr>
              <w:t>1:N</w:t>
            </w:r>
          </w:p>
        </w:tc>
        <w:tc>
          <w:tcPr>
            <w:tcW w:w="2353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项目可有多个实验单号及多个配方版本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 xml:space="preserve">项目阶段 </w:t>
            </w:r>
            <w:r>
              <w:rPr>
                <w:rFonts w:ascii="Consolas" w:hAnsi="Consolas" w:eastAsia="Consolas"/>
                <w:color w:val="B45309"/>
                <w:sz w:val="19"/>
                <w:shd w:val="clear" w:color="auto" w:fill="FFF7ED"/>
              </w:rPr>
              <w:t>ProjectNode</w:t>
            </w:r>
          </w:p>
        </w:tc>
        <w:tc>
          <w:tcPr>
            <w:tcW w:w="235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 xml:space="preserve">实验配方 </w:t>
            </w:r>
            <w:r>
              <w:rPr>
                <w:rFonts w:ascii="Consolas" w:hAnsi="Consolas" w:eastAsia="Consolas"/>
                <w:color w:val="B45309"/>
                <w:sz w:val="19"/>
                <w:shd w:val="clear" w:color="auto" w:fill="FFF7ED"/>
              </w:rPr>
              <w:t>LabFormula</w:t>
            </w:r>
          </w:p>
        </w:tc>
        <w:tc>
          <w:tcPr>
            <w:tcW w:w="235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onsolas" w:hAnsi="Consolas" w:eastAsia="Consolas"/>
                <w:color w:val="B45309"/>
                <w:sz w:val="19"/>
                <w:shd w:val="clear" w:color="auto" w:fill="FFF7ED"/>
              </w:rPr>
              <w:t>1:N</w:t>
            </w:r>
          </w:p>
        </w:tc>
        <w:tc>
          <w:tcPr>
            <w:tcW w:w="235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在项目阶段内创建的配方自动带入项目和节点归属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3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 xml:space="preserve">实验配方 </w:t>
            </w:r>
            <w:r>
              <w:rPr>
                <w:rFonts w:ascii="Consolas" w:hAnsi="Consolas" w:eastAsia="Consolas"/>
                <w:color w:val="B45309"/>
                <w:sz w:val="19"/>
                <w:shd w:val="clear" w:color="auto" w:fill="FFF7ED"/>
              </w:rPr>
              <w:t>LabFormula</w:t>
            </w:r>
          </w:p>
        </w:tc>
        <w:tc>
          <w:tcPr>
            <w:tcW w:w="2353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 xml:space="preserve">配方 BOM </w:t>
            </w:r>
            <w:r>
              <w:rPr>
                <w:rFonts w:ascii="Consolas" w:hAnsi="Consolas" w:eastAsia="Consolas"/>
                <w:color w:val="B45309"/>
                <w:sz w:val="19"/>
                <w:shd w:val="clear" w:color="auto" w:fill="FFF7ED"/>
              </w:rPr>
              <w:t>FormulaBOM</w:t>
            </w:r>
          </w:p>
        </w:tc>
        <w:tc>
          <w:tcPr>
            <w:tcW w:w="2353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onsolas" w:hAnsi="Consolas" w:eastAsia="Consolas"/>
                <w:color w:val="B45309"/>
                <w:sz w:val="19"/>
                <w:shd w:val="clear" w:color="auto" w:fill="FFF7ED"/>
              </w:rPr>
              <w:t>1:N</w:t>
            </w:r>
          </w:p>
        </w:tc>
        <w:tc>
          <w:tcPr>
            <w:tcW w:w="2353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每个配方版本分别维护原材料、份数、批次和加料顺序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 xml:space="preserve">原材料 </w:t>
            </w:r>
            <w:r>
              <w:rPr>
                <w:rFonts w:ascii="Consolas" w:hAnsi="Consolas" w:eastAsia="Consolas"/>
                <w:color w:val="B45309"/>
                <w:sz w:val="19"/>
                <w:shd w:val="clear" w:color="auto" w:fill="FFF7ED"/>
              </w:rPr>
              <w:t>RawMaterial</w:t>
            </w:r>
          </w:p>
        </w:tc>
        <w:tc>
          <w:tcPr>
            <w:tcW w:w="235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 xml:space="preserve">配方 BOM </w:t>
            </w:r>
            <w:r>
              <w:rPr>
                <w:rFonts w:ascii="Consolas" w:hAnsi="Consolas" w:eastAsia="Consolas"/>
                <w:color w:val="B45309"/>
                <w:sz w:val="19"/>
                <w:shd w:val="clear" w:color="auto" w:fill="FFF7ED"/>
              </w:rPr>
              <w:t>FormulaBOM</w:t>
            </w:r>
          </w:p>
        </w:tc>
        <w:tc>
          <w:tcPr>
            <w:tcW w:w="235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onsolas" w:hAnsi="Consolas" w:eastAsia="Consolas"/>
                <w:color w:val="B45309"/>
                <w:sz w:val="19"/>
                <w:shd w:val="clear" w:color="auto" w:fill="FFF7ED"/>
              </w:rPr>
              <w:t>1:N</w:t>
            </w:r>
          </w:p>
        </w:tc>
        <w:tc>
          <w:tcPr>
            <w:tcW w:w="235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原材料被 BOM 引用后不可直接删除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3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 xml:space="preserve">实验配方 </w:t>
            </w:r>
            <w:r>
              <w:rPr>
                <w:rFonts w:ascii="Consolas" w:hAnsi="Consolas" w:eastAsia="Consolas"/>
                <w:color w:val="B45309"/>
                <w:sz w:val="19"/>
                <w:shd w:val="clear" w:color="auto" w:fill="FFF7ED"/>
              </w:rPr>
              <w:t>LabFormula</w:t>
            </w:r>
          </w:p>
        </w:tc>
        <w:tc>
          <w:tcPr>
            <w:tcW w:w="2353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 xml:space="preserve">配方测试结果 </w:t>
            </w:r>
            <w:r>
              <w:rPr>
                <w:rFonts w:ascii="Consolas" w:hAnsi="Consolas" w:eastAsia="Consolas"/>
                <w:color w:val="B45309"/>
                <w:sz w:val="19"/>
                <w:shd w:val="clear" w:color="auto" w:fill="FFF7ED"/>
              </w:rPr>
              <w:t>FormulaTestResult</w:t>
            </w:r>
          </w:p>
        </w:tc>
        <w:tc>
          <w:tcPr>
            <w:tcW w:w="2353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onsolas" w:hAnsi="Consolas" w:eastAsia="Consolas"/>
                <w:color w:val="B45309"/>
                <w:sz w:val="19"/>
                <w:shd w:val="clear" w:color="auto" w:fill="FFF7ED"/>
              </w:rPr>
              <w:t>1:N</w:t>
            </w:r>
          </w:p>
        </w:tc>
        <w:tc>
          <w:tcPr>
            <w:tcW w:w="2353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测试任务完成或手动回写后，结果沉淀到对应配方版本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 xml:space="preserve">实验配方 </w:t>
            </w:r>
            <w:r>
              <w:rPr>
                <w:rFonts w:ascii="Consolas" w:hAnsi="Consolas" w:eastAsia="Consolas"/>
                <w:color w:val="B45309"/>
                <w:sz w:val="19"/>
                <w:shd w:val="clear" w:color="auto" w:fill="FFF7ED"/>
              </w:rPr>
              <w:t>LabFormula</w:t>
            </w:r>
          </w:p>
        </w:tc>
        <w:tc>
          <w:tcPr>
            <w:tcW w:w="235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 xml:space="preserve">基础预研 </w:t>
            </w:r>
            <w:r>
              <w:rPr>
                <w:rFonts w:ascii="Consolas" w:hAnsi="Consolas" w:eastAsia="Consolas"/>
                <w:color w:val="B45309"/>
                <w:sz w:val="19"/>
                <w:shd w:val="clear" w:color="auto" w:fill="FFF7ED"/>
              </w:rPr>
              <w:t>ResearchProject</w:t>
            </w:r>
          </w:p>
        </w:tc>
        <w:tc>
          <w:tcPr>
            <w:tcW w:w="235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Consolas" w:hAnsi="Consolas" w:eastAsia="Consolas"/>
                <w:color w:val="B45309"/>
                <w:sz w:val="19"/>
                <w:shd w:val="clear" w:color="auto" w:fill="FFF7ED"/>
              </w:rPr>
              <w:t>M:N</w:t>
            </w:r>
          </w:p>
        </w:tc>
        <w:tc>
          <w:tcPr>
            <w:tcW w:w="235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一个配方可引用多个预研成果，一个预研项目也可支持多个配方</w:t>
            </w:r>
          </w:p>
        </w:tc>
      </w:tr>
    </w:tbl>
    <w:p>
      <w:pPr>
        <w:spacing w:after="0"/>
      </w:pPr>
    </w:p>
    <w:p>
      <w:r>
        <w:rPr>
          <w:rFonts w:ascii="微软雅黑" w:hAnsi="微软雅黑" w:eastAsia="微软雅黑"/>
          <w:color w:val="1F2937"/>
          <w:sz w:val="21"/>
        </w:rPr>
        <w:t>新建配方前，应至少准备材料类型和原材料；若配方属于正式项目，还应先创建项目、阶段节点和项目成员。需要核算成本时，原材料还应具备相应工厂和期间的价格记录。</w:t>
      </w:r>
    </w:p>
    <w:p>
      <w:pPr>
        <w:pStyle w:val="4"/>
        <w:keepNext/>
        <w:keepLines/>
      </w:pPr>
      <w:bookmarkStart w:id="6" w:name="_Toc10267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2.4 试产执行与质量回写关系</w:t>
      </w:r>
      <w:bookmarkEnd w:id="6"/>
    </w:p>
    <w:p>
      <w:pPr>
        <w:spacing w:before="100" w:after="40"/>
        <w:jc w:val="center"/>
      </w:pPr>
      <w:r>
        <w:drawing>
          <wp:inline distT="0" distB="0" distL="114300" distR="114300">
            <wp:extent cx="5831840" cy="3790315"/>
            <wp:effectExtent l="0" t="0" r="5080" b="444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7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before="0" w:after="180"/>
        <w:jc w:val="center"/>
      </w:pPr>
      <w:r>
        <w:rPr>
          <w:rFonts w:ascii="微软雅黑" w:hAnsi="微软雅黑" w:eastAsia="微软雅黑"/>
          <w:b/>
          <w:i w:val="0"/>
          <w:color w:val="2563EB"/>
          <w:sz w:val="18"/>
          <w:u w:val="none"/>
        </w:rPr>
        <w:t xml:space="preserve">图  </w:t>
      </w:r>
      <w:r>
        <w:rPr>
          <w:rFonts w:ascii="微软雅黑" w:hAnsi="微软雅黑" w:eastAsia="微软雅黑"/>
          <w:b w:val="0"/>
          <w:i w:val="0"/>
          <w:color w:val="64748B"/>
          <w:sz w:val="18"/>
          <w:u w:val="none"/>
        </w:rPr>
        <w:t>试产执行与质量回写数据关系</w:t>
      </w:r>
    </w:p>
    <w:p>
      <w:r>
        <w:rPr>
          <w:rFonts w:ascii="微软雅黑" w:hAnsi="微软雅黑" w:eastAsia="微软雅黑"/>
          <w:color w:val="1F2937"/>
          <w:sz w:val="21"/>
        </w:rPr>
        <w:t xml:space="preserve">试产工单 </w:t>
      </w:r>
      <w:r>
        <w:rPr>
          <w:rFonts w:ascii="Consolas" w:hAnsi="Consolas" w:eastAsia="Consolas"/>
          <w:color w:val="B45309"/>
          <w:sz w:val="19"/>
          <w:shd w:val="clear" w:color="auto" w:fill="FFF7ED"/>
        </w:rPr>
        <w:t>ProductionOrder</w:t>
      </w:r>
      <w:r>
        <w:rPr>
          <w:rFonts w:ascii="微软雅黑" w:hAnsi="微软雅黑" w:eastAsia="微软雅黑"/>
          <w:color w:val="1F2937"/>
          <w:sz w:val="21"/>
        </w:rPr>
        <w:t xml:space="preserve"> 是执行链中心：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工单关联项目、项目阶段、一个或多个配方版本、工艺方案、测试项目和审批流程。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每个选中配方形成一条工单配方明细，记录计划产量及是否需要配色。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工单发单后，系统按选择生成配色任务和挤出任务；挤出完成后形成颗粒库存。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需要制样时，由工单或颗粒库存进入注塑任务，结合模具和各配方制样数量形成样条库存。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需要测试时，系统根据工单测试项目生成测试任务；结果按“配方版本 × 测试标准”记录，并回写配方测试结果。</w:t>
      </w:r>
    </w:p>
    <w:p>
      <w:r>
        <w:rPr>
          <w:rFonts w:ascii="微软雅黑" w:hAnsi="微软雅黑" w:eastAsia="微软雅黑"/>
          <w:color w:val="1F2937"/>
          <w:sz w:val="21"/>
        </w:rPr>
        <w:t>工单一旦进入投产，配方版本结构和关键关联会受到限制。修改工单前应先确认当前审批、任务、库存和测试状态，避免出现执行记录与计划不一致。</w:t>
      </w:r>
    </w:p>
    <w:p>
      <w:pPr>
        <w:pStyle w:val="4"/>
        <w:keepNext/>
        <w:keepLines/>
      </w:pPr>
      <w:bookmarkStart w:id="7" w:name="_Toc8973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2.5 成品、项目、配方与排产跨维度关系</w:t>
      </w:r>
      <w:bookmarkEnd w:id="7"/>
    </w:p>
    <w:p>
      <w:pPr>
        <w:keepNext/>
        <w:spacing w:before="100" w:after="40"/>
        <w:jc w:val="center"/>
      </w:pPr>
      <w:r>
        <w:drawing>
          <wp:inline distT="0" distB="0" distL="114300" distR="114300">
            <wp:extent cx="5831840" cy="3975735"/>
            <wp:effectExtent l="0" t="0" r="508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976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before="0" w:after="180"/>
        <w:jc w:val="center"/>
      </w:pPr>
      <w:r>
        <w:rPr>
          <w:rFonts w:ascii="微软雅黑" w:hAnsi="微软雅黑" w:eastAsia="微软雅黑"/>
          <w:b/>
          <w:i w:val="0"/>
          <w:color w:val="2563EB"/>
          <w:sz w:val="18"/>
          <w:u w:val="none"/>
        </w:rPr>
        <w:t xml:space="preserve">图  </w:t>
      </w:r>
      <w:r>
        <w:rPr>
          <w:rFonts w:ascii="微软雅黑" w:hAnsi="微软雅黑" w:eastAsia="微软雅黑"/>
          <w:b w:val="0"/>
          <w:i w:val="0"/>
          <w:color w:val="64748B"/>
          <w:sz w:val="18"/>
          <w:u w:val="none"/>
        </w:rPr>
        <w:t>成品、项目、试验配方与排产单跨维度关系</w:t>
      </w:r>
    </w:p>
    <w:p>
      <w:r>
        <w:rPr>
          <w:rFonts w:ascii="微软雅黑" w:hAnsi="微软雅黑" w:eastAsia="微软雅黑"/>
          <w:color w:val="334155"/>
          <w:sz w:val="21"/>
        </w:rPr>
        <w:t>这四个业务维度通过以下关系贯通：</w:t>
      </w:r>
    </w:p>
    <w:p>
      <w:pPr>
        <w:pStyle w:val="16"/>
      </w:pPr>
      <w:r>
        <w:rPr>
          <w:rFonts w:ascii="微软雅黑" w:hAnsi="微软雅黑" w:eastAsia="微软雅黑"/>
          <w:color w:val="334155"/>
          <w:sz w:val="21"/>
        </w:rPr>
        <w:t>成品材料 MaterialLibrary 被项目的 material 字段引用；同一成品可用于多个项目。</w:t>
      </w:r>
    </w:p>
    <w:p>
      <w:pPr>
        <w:pStyle w:val="16"/>
      </w:pPr>
      <w:r>
        <w:rPr>
          <w:rFonts w:ascii="微软雅黑" w:hAnsi="微软雅黑" w:eastAsia="微软雅黑"/>
          <w:color w:val="334155"/>
          <w:sz w:val="21"/>
        </w:rPr>
        <w:t>项目 Project 向下包含商务档案、阶段节点和成员关系；配方与排产单都可以归属项目及具体阶段节点。</w:t>
      </w:r>
    </w:p>
    <w:p>
      <w:pPr>
        <w:pStyle w:val="16"/>
      </w:pPr>
      <w:r>
        <w:rPr>
          <w:rFonts w:ascii="微软雅黑" w:hAnsi="微软雅黑" w:eastAsia="微软雅黑"/>
          <w:color w:val="334155"/>
          <w:sz w:val="21"/>
        </w:rPr>
        <w:t>试验配方 LabFormula 通过 ProductionOrderFormulaDetail 与排产单形成多对多业务关系，同一排产单可以选择多个配方版本，同一配方版本也可以被多个排产单引用。</w:t>
      </w:r>
    </w:p>
    <w:p>
      <w:pPr>
        <w:pStyle w:val="16"/>
      </w:pPr>
      <w:r>
        <w:rPr>
          <w:rFonts w:ascii="微软雅黑" w:hAnsi="微软雅黑" w:eastAsia="微软雅黑"/>
          <w:color w:val="334155"/>
          <w:sz w:val="21"/>
        </w:rPr>
        <w:t>排产单 ProductionOrder 除配方明细外，还向下关联配色、挤出、注塑、库存、测试任务和试验结果。</w:t>
      </w:r>
    </w:p>
    <w:p>
      <w:r>
        <w:rPr>
          <w:rFonts w:ascii="微软雅黑" w:hAnsi="微软雅黑" w:eastAsia="微软雅黑"/>
          <w:color w:val="334155"/>
          <w:sz w:val="21"/>
        </w:rPr>
        <w:t>图中每个主维度下方列出了最重要的细分数据表。创建下游数据时，应沿主链向左检查成品、项目、节点和配方版本是否已存在且状态可用。</w:t>
      </w:r>
    </w:p>
    <w:p>
      <w:pPr>
        <w:pStyle w:val="4"/>
        <w:keepNext/>
        <w:keepLines/>
      </w:pPr>
      <w:bookmarkStart w:id="8" w:name="_Toc8667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2.6 推荐建数顺序</w:t>
      </w:r>
      <w:bookmarkEnd w:id="8"/>
    </w:p>
    <w:p>
      <w:r>
        <w:rPr>
          <w:rFonts w:ascii="微软雅黑" w:hAnsi="微软雅黑" w:eastAsia="微软雅黑"/>
          <w:color w:val="1F2937"/>
          <w:sz w:val="21"/>
        </w:rPr>
        <w:t>首次启用系统或开展一类新业务时，建议按以下顺序准备数据：</w:t>
      </w:r>
    </w:p>
    <w:p>
      <w:pPr>
        <w:pStyle w:val="14"/>
      </w:pPr>
      <w:r>
        <w:rPr>
          <w:rFonts w:ascii="微软雅黑" w:hAnsi="微软雅黑" w:eastAsia="微软雅黑"/>
          <w:b/>
          <w:color w:val="1F2937"/>
          <w:sz w:val="21"/>
        </w:rPr>
        <w:t>组织与权限</w:t>
      </w:r>
      <w:r>
        <w:rPr>
          <w:rFonts w:ascii="微软雅黑" w:hAnsi="微软雅黑" w:eastAsia="微软雅黑"/>
          <w:color w:val="1F2937"/>
          <w:sz w:val="21"/>
        </w:rPr>
        <w:t>：子公司/基地 → 部门 → 工作组 → 用户 → 角色/权限组 → 组织角色和评审组。</w:t>
      </w:r>
    </w:p>
    <w:p>
      <w:pPr>
        <w:pStyle w:val="14"/>
      </w:pPr>
      <w:r>
        <w:rPr>
          <w:rFonts w:ascii="微软雅黑" w:hAnsi="微软雅黑" w:eastAsia="微软雅黑"/>
          <w:b/>
          <w:color w:val="1F2937"/>
          <w:sz w:val="21"/>
        </w:rPr>
        <w:t>审批与通用配置</w:t>
      </w:r>
      <w:r>
        <w:rPr>
          <w:rFonts w:ascii="微软雅黑" w:hAnsi="微软雅黑" w:eastAsia="微软雅黑"/>
          <w:color w:val="1F2937"/>
          <w:sz w:val="21"/>
        </w:rPr>
        <w:t>：流程定义 → 审批人/候选组 → 表单模板 → 通知配置。</w:t>
      </w:r>
    </w:p>
    <w:p>
      <w:pPr>
        <w:pStyle w:val="14"/>
      </w:pPr>
      <w:r>
        <w:rPr>
          <w:rFonts w:ascii="微软雅黑" w:hAnsi="微软雅黑" w:eastAsia="微软雅黑"/>
          <w:b/>
          <w:color w:val="1F2937"/>
          <w:sz w:val="21"/>
        </w:rPr>
        <w:t>标准与分类</w:t>
      </w:r>
      <w:r>
        <w:rPr>
          <w:rFonts w:ascii="微软雅黑" w:hAnsi="微软雅黑" w:eastAsia="微软雅黑"/>
          <w:color w:val="1F2937"/>
          <w:sz w:val="21"/>
        </w:rPr>
        <w:t>：材料类型 → 应用场景/特性 → 指标类别 → 测试标准 → 项目等级/业务板块。</w:t>
      </w:r>
    </w:p>
    <w:p>
      <w:pPr>
        <w:pStyle w:val="14"/>
      </w:pPr>
      <w:r>
        <w:rPr>
          <w:rFonts w:ascii="微软雅黑" w:hAnsi="微软雅黑" w:eastAsia="微软雅黑"/>
          <w:b/>
          <w:color w:val="1F2937"/>
          <w:sz w:val="21"/>
        </w:rPr>
        <w:t>客户主数据</w:t>
      </w:r>
      <w:r>
        <w:rPr>
          <w:rFonts w:ascii="微软雅黑" w:hAnsi="微软雅黑" w:eastAsia="微软雅黑"/>
          <w:color w:val="1F2937"/>
          <w:sz w:val="21"/>
        </w:rPr>
        <w:t>：客户 → OEM → 销售人员归属及项目商务字段。</w:t>
      </w:r>
    </w:p>
    <w:p>
      <w:pPr>
        <w:pStyle w:val="14"/>
      </w:pPr>
      <w:r>
        <w:rPr>
          <w:rFonts w:ascii="微软雅黑" w:hAnsi="微软雅黑" w:eastAsia="微软雅黑"/>
          <w:b/>
          <w:color w:val="1F2937"/>
          <w:sz w:val="21"/>
        </w:rPr>
        <w:t>原材料主数据</w:t>
      </w:r>
      <w:r>
        <w:rPr>
          <w:rFonts w:ascii="微软雅黑" w:hAnsi="微软雅黑" w:eastAsia="微软雅黑"/>
          <w:color w:val="1F2937"/>
          <w:sz w:val="21"/>
        </w:rPr>
        <w:t>：原材料类型 → 供应商 → 原材料 → 工厂价格/库存记录。</w:t>
      </w:r>
    </w:p>
    <w:p>
      <w:pPr>
        <w:pStyle w:val="14"/>
      </w:pPr>
      <w:r>
        <w:rPr>
          <w:rFonts w:ascii="微软雅黑" w:hAnsi="微软雅黑" w:eastAsia="微软雅黑"/>
          <w:b/>
          <w:color w:val="1F2937"/>
          <w:sz w:val="21"/>
        </w:rPr>
        <w:t>生产资源</w:t>
      </w:r>
      <w:r>
        <w:rPr>
          <w:rFonts w:ascii="微软雅黑" w:hAnsi="微软雅黑" w:eastAsia="微软雅黑"/>
          <w:color w:val="1F2937"/>
          <w:sz w:val="21"/>
        </w:rPr>
        <w:t>：机台型号 → 螺杆组合 → 工艺方案 → 模具台账。</w:t>
      </w:r>
    </w:p>
    <w:p>
      <w:pPr>
        <w:pStyle w:val="14"/>
      </w:pPr>
      <w:r>
        <w:rPr>
          <w:rFonts w:ascii="微软雅黑" w:hAnsi="微软雅黑" w:eastAsia="微软雅黑"/>
          <w:b/>
          <w:color w:val="1F2937"/>
          <w:sz w:val="21"/>
        </w:rPr>
        <w:t>成品材料</w:t>
      </w:r>
      <w:r>
        <w:rPr>
          <w:rFonts w:ascii="微软雅黑" w:hAnsi="微软雅黑" w:eastAsia="微软雅黑"/>
          <w:color w:val="1F2937"/>
          <w:sz w:val="21"/>
        </w:rPr>
        <w:t>：材料牌号 → 加工条件 → 性能数据点 → 发布资料与附件。</w:t>
      </w:r>
    </w:p>
    <w:p>
      <w:pPr>
        <w:pStyle w:val="14"/>
      </w:pPr>
      <w:r>
        <w:rPr>
          <w:rFonts w:ascii="微软雅黑" w:hAnsi="微软雅黑" w:eastAsia="微软雅黑"/>
          <w:b/>
          <w:color w:val="1F2937"/>
          <w:sz w:val="21"/>
        </w:rPr>
        <w:t>研发业务</w:t>
      </w:r>
      <w:r>
        <w:rPr>
          <w:rFonts w:ascii="微软雅黑" w:hAnsi="微软雅黑" w:eastAsia="微软雅黑"/>
          <w:color w:val="1F2937"/>
          <w:sz w:val="21"/>
        </w:rPr>
        <w:t>：项目商务档案/研发项目 → 项目成员 → 阶段节点；独立探索可先建基础预研。</w:t>
      </w:r>
    </w:p>
    <w:p>
      <w:pPr>
        <w:pStyle w:val="14"/>
      </w:pPr>
      <w:r>
        <w:rPr>
          <w:rFonts w:ascii="微软雅黑" w:hAnsi="微软雅黑" w:eastAsia="微软雅黑"/>
          <w:b/>
          <w:color w:val="1F2937"/>
          <w:sz w:val="21"/>
        </w:rPr>
        <w:t>配方业务</w:t>
      </w:r>
      <w:r>
        <w:rPr>
          <w:rFonts w:ascii="微软雅黑" w:hAnsi="微软雅黑" w:eastAsia="微软雅黑"/>
          <w:color w:val="1F2937"/>
          <w:sz w:val="21"/>
        </w:rPr>
        <w:t>：实验单号与版本 → 原材料 BOM → 色粉 BOM → 初始测试结果。</w:t>
      </w:r>
    </w:p>
    <w:p>
      <w:pPr>
        <w:pStyle w:val="14"/>
      </w:pPr>
      <w:r>
        <w:rPr>
          <w:rFonts w:ascii="微软雅黑" w:hAnsi="微软雅黑" w:eastAsia="微软雅黑"/>
          <w:b/>
          <w:color w:val="1F2937"/>
          <w:sz w:val="21"/>
        </w:rPr>
        <w:t>试产执行</w:t>
      </w:r>
      <w:r>
        <w:rPr>
          <w:rFonts w:ascii="微软雅黑" w:hAnsi="微软雅黑" w:eastAsia="微软雅黑"/>
          <w:color w:val="1F2937"/>
          <w:sz w:val="21"/>
        </w:rPr>
        <w:t>：试产工单 → 审批发单 → 配色/挤出 → 颗粒分拨 → 注塑 → 测试 → 结果回写。</w:t>
      </w:r>
    </w:p>
    <w:p>
      <w:pPr>
        <w:pStyle w:val="4"/>
        <w:keepNext/>
        <w:keepLines/>
      </w:pPr>
      <w:bookmarkStart w:id="9" w:name="_Toc2164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2.7 各模块前置数据矩阵</w:t>
      </w:r>
      <w:bookmarkEnd w:id="9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82"/>
        <w:gridCol w:w="1882"/>
        <w:gridCol w:w="1882"/>
        <w:gridCol w:w="1882"/>
        <w:gridCol w:w="18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882" w:type="dxa"/>
            <w:shd w:val="clear" w:color="auto" w:fill="2563E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模块</w:t>
            </w:r>
          </w:p>
        </w:tc>
        <w:tc>
          <w:tcPr>
            <w:tcW w:w="1882" w:type="dxa"/>
            <w:shd w:val="clear" w:color="auto" w:fill="2563E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准备/创建对象</w:t>
            </w:r>
          </w:p>
        </w:tc>
        <w:tc>
          <w:tcPr>
            <w:tcW w:w="1882" w:type="dxa"/>
            <w:shd w:val="clear" w:color="auto" w:fill="2563E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必须先有</w:t>
            </w:r>
          </w:p>
        </w:tc>
        <w:tc>
          <w:tcPr>
            <w:tcW w:w="1882" w:type="dxa"/>
            <w:shd w:val="clear" w:color="auto" w:fill="2563E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建议先有</w:t>
            </w:r>
          </w:p>
        </w:tc>
        <w:tc>
          <w:tcPr>
            <w:tcW w:w="1882" w:type="dxa"/>
            <w:shd w:val="clear" w:color="auto" w:fill="2563E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后续关联或自动数据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看板工作台</w:t>
            </w:r>
          </w:p>
        </w:tc>
        <w:tc>
          <w:tcPr>
            <w:tcW w:w="18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统计和待办视图</w:t>
            </w:r>
          </w:p>
        </w:tc>
        <w:tc>
          <w:tcPr>
            <w:tcW w:w="18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用户账号及模块权限</w:t>
            </w:r>
          </w:p>
        </w:tc>
        <w:tc>
          <w:tcPr>
            <w:tcW w:w="18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完整部门、工作组和业务归属</w:t>
            </w:r>
          </w:p>
        </w:tc>
        <w:tc>
          <w:tcPr>
            <w:tcW w:w="18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汇总项目、工单、流程、通知等数据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项目管理中心</w:t>
            </w:r>
          </w:p>
        </w:tc>
        <w:tc>
          <w:tcPr>
            <w:tcW w:w="188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研发项目</w:t>
            </w:r>
          </w:p>
        </w:tc>
        <w:tc>
          <w:tcPr>
            <w:tcW w:w="188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项目负责人、项目等级、成品材料</w:t>
            </w:r>
          </w:p>
        </w:tc>
        <w:tc>
          <w:tcPr>
            <w:tcW w:w="188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业务板块、审批流程、客户/OEM、项目成员</w:t>
            </w:r>
          </w:p>
        </w:tc>
        <w:tc>
          <w:tcPr>
            <w:tcW w:w="188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项目档案、阶段节点、配方、工单、绩效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客户档案中心</w:t>
            </w:r>
          </w:p>
        </w:tc>
        <w:tc>
          <w:tcPr>
            <w:tcW w:w="18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客户、OEM、项目档案</w:t>
            </w:r>
          </w:p>
        </w:tc>
        <w:tc>
          <w:tcPr>
            <w:tcW w:w="18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有权限的销售/管理账号</w:t>
            </w:r>
          </w:p>
        </w:tc>
        <w:tc>
          <w:tcPr>
            <w:tcW w:w="18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客户等级、销售负责人、审批流程</w:t>
            </w:r>
          </w:p>
        </w:tc>
        <w:tc>
          <w:tcPr>
            <w:tcW w:w="18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被项目、竞品工单和商务分析引用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基础预研中心</w:t>
            </w:r>
          </w:p>
        </w:tc>
        <w:tc>
          <w:tcPr>
            <w:tcW w:w="188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预研项目</w:t>
            </w:r>
          </w:p>
        </w:tc>
        <w:tc>
          <w:tcPr>
            <w:tcW w:w="188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负责人和组织归属</w:t>
            </w:r>
          </w:p>
        </w:tc>
        <w:tc>
          <w:tcPr>
            <w:tcW w:w="188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成员、阶段标准、附件/表单模板</w:t>
            </w:r>
          </w:p>
        </w:tc>
        <w:tc>
          <w:tcPr>
            <w:tcW w:w="188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可与多个实验配方关联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材料成品库</w:t>
            </w:r>
          </w:p>
        </w:tc>
        <w:tc>
          <w:tcPr>
            <w:tcW w:w="18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成品材料</w:t>
            </w:r>
          </w:p>
        </w:tc>
        <w:tc>
          <w:tcPr>
            <w:tcW w:w="18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材料类型</w:t>
            </w:r>
          </w:p>
        </w:tc>
        <w:tc>
          <w:tcPr>
            <w:tcW w:w="18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应用场景、特性、测试标准、加工条件</w:t>
            </w:r>
          </w:p>
        </w:tc>
        <w:tc>
          <w:tcPr>
            <w:tcW w:w="18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项目选材、性能数据、TDS、电子手册发布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实验配方库</w:t>
            </w:r>
          </w:p>
        </w:tc>
        <w:tc>
          <w:tcPr>
            <w:tcW w:w="188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配方版本和 BOM</w:t>
            </w:r>
          </w:p>
        </w:tc>
        <w:tc>
          <w:tcPr>
            <w:tcW w:w="188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材料类型、原材料</w:t>
            </w:r>
          </w:p>
        </w:tc>
        <w:tc>
          <w:tcPr>
            <w:tcW w:w="188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项目/节点、工艺方案、预研项目、原料价格</w:t>
            </w:r>
          </w:p>
        </w:tc>
        <w:tc>
          <w:tcPr>
            <w:tcW w:w="188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工单配方明细、色粉 BOM、成本与测试结果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试验排产中心</w:t>
            </w:r>
          </w:p>
        </w:tc>
        <w:tc>
          <w:tcPr>
            <w:tcW w:w="18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试产工单</w:t>
            </w:r>
          </w:p>
        </w:tc>
        <w:tc>
          <w:tcPr>
            <w:tcW w:w="18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项目、阶段节点、配方版本</w:t>
            </w:r>
          </w:p>
        </w:tc>
        <w:tc>
          <w:tcPr>
            <w:tcW w:w="18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工艺方案、测试标准、模具、审批流程</w:t>
            </w:r>
          </w:p>
        </w:tc>
        <w:tc>
          <w:tcPr>
            <w:tcW w:w="18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配色/挤出/注塑/测试任务及库存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挤出排产中心</w:t>
            </w:r>
          </w:p>
        </w:tc>
        <w:tc>
          <w:tcPr>
            <w:tcW w:w="188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挤出执行记录</w:t>
            </w:r>
          </w:p>
        </w:tc>
        <w:tc>
          <w:tcPr>
            <w:tcW w:w="188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已发单的试产工单</w:t>
            </w:r>
          </w:p>
        </w:tc>
        <w:tc>
          <w:tcPr>
            <w:tcW w:w="188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操作员、机台、螺杆、工艺参数</w:t>
            </w:r>
          </w:p>
        </w:tc>
        <w:tc>
          <w:tcPr>
            <w:tcW w:w="188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颗粒库存、分拨记录和后续注塑取料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材料配色中心</w:t>
            </w:r>
          </w:p>
        </w:tc>
        <w:tc>
          <w:tcPr>
            <w:tcW w:w="18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配色任务/色粉 BOM</w:t>
            </w:r>
          </w:p>
        </w:tc>
        <w:tc>
          <w:tcPr>
            <w:tcW w:w="18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工单配方已标记“需要配色”</w:t>
            </w:r>
          </w:p>
        </w:tc>
        <w:tc>
          <w:tcPr>
            <w:tcW w:w="18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色粉原材料和配色人员</w:t>
            </w:r>
          </w:p>
        </w:tc>
        <w:tc>
          <w:tcPr>
            <w:tcW w:w="18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配色完成状态与配方色粉 BOM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模具注塑中心</w:t>
            </w:r>
          </w:p>
        </w:tc>
        <w:tc>
          <w:tcPr>
            <w:tcW w:w="188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注塑任务</w:t>
            </w:r>
          </w:p>
        </w:tc>
        <w:tc>
          <w:tcPr>
            <w:tcW w:w="188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试产工单或可用颗粒库存</w:t>
            </w:r>
          </w:p>
        </w:tc>
        <w:tc>
          <w:tcPr>
            <w:tcW w:w="188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模具、各配方制样数量、注塑参数</w:t>
            </w:r>
          </w:p>
        </w:tc>
        <w:tc>
          <w:tcPr>
            <w:tcW w:w="188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样条库存和材料测试任务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材料测试中心</w:t>
            </w:r>
          </w:p>
        </w:tc>
        <w:tc>
          <w:tcPr>
            <w:tcW w:w="18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测试任务与结果</w:t>
            </w:r>
          </w:p>
        </w:tc>
        <w:tc>
          <w:tcPr>
            <w:tcW w:w="18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工单、配方、测试标准</w:t>
            </w:r>
          </w:p>
        </w:tc>
        <w:tc>
          <w:tcPr>
            <w:tcW w:w="18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合格样条、测试负责人、测试日期</w:t>
            </w:r>
          </w:p>
        </w:tc>
        <w:tc>
          <w:tcPr>
            <w:tcW w:w="18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试验结果并回写配方测试结果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生产工艺库</w:t>
            </w:r>
          </w:p>
        </w:tc>
        <w:tc>
          <w:tcPr>
            <w:tcW w:w="188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工艺方案</w:t>
            </w:r>
          </w:p>
        </w:tc>
        <w:tc>
          <w:tcPr>
            <w:tcW w:w="188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机台型号、螺杆组合</w:t>
            </w:r>
          </w:p>
        </w:tc>
        <w:tc>
          <w:tcPr>
            <w:tcW w:w="188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适用材料类型、温区和速度参数</w:t>
            </w:r>
          </w:p>
        </w:tc>
        <w:tc>
          <w:tcPr>
            <w:tcW w:w="188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被配方和试产工单引用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原材料/供应商</w:t>
            </w:r>
          </w:p>
        </w:tc>
        <w:tc>
          <w:tcPr>
            <w:tcW w:w="18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原材料</w:t>
            </w:r>
          </w:p>
        </w:tc>
        <w:tc>
          <w:tcPr>
            <w:tcW w:w="18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原材料类型、供应商</w:t>
            </w:r>
          </w:p>
        </w:tc>
        <w:tc>
          <w:tcPr>
            <w:tcW w:w="18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适用材料类型、工厂、价格和库存</w:t>
            </w:r>
          </w:p>
        </w:tc>
        <w:tc>
          <w:tcPr>
            <w:tcW w:w="18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配方 BOM、成本计算和 SAP 数据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表单管理中心</w:t>
            </w:r>
          </w:p>
        </w:tc>
        <w:tc>
          <w:tcPr>
            <w:tcW w:w="188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表单提交</w:t>
            </w:r>
          </w:p>
        </w:tc>
        <w:tc>
          <w:tcPr>
            <w:tcW w:w="188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已启用的表单模板及字段</w:t>
            </w:r>
          </w:p>
        </w:tc>
        <w:tc>
          <w:tcPr>
            <w:tcW w:w="188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分步配置、审批流程、业务对象</w:t>
            </w:r>
          </w:p>
        </w:tc>
        <w:tc>
          <w:tcPr>
            <w:tcW w:w="188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草稿、提交记录、审批实例和附件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流程审批中心</w:t>
            </w:r>
          </w:p>
        </w:tc>
        <w:tc>
          <w:tcPr>
            <w:tcW w:w="18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流程实例/任务</w:t>
            </w:r>
          </w:p>
        </w:tc>
        <w:tc>
          <w:tcPr>
            <w:tcW w:w="18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已启用的流程定义</w:t>
            </w:r>
          </w:p>
        </w:tc>
        <w:tc>
          <w:tcPr>
            <w:tcW w:w="18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审批人、候选组、组织角色</w:t>
            </w:r>
          </w:p>
        </w:tc>
        <w:tc>
          <w:tcPr>
            <w:tcW w:w="18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待办、已办、状态回写和通知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产品电子手册</w:t>
            </w:r>
          </w:p>
        </w:tc>
        <w:tc>
          <w:tcPr>
            <w:tcW w:w="188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对外材料目录</w:t>
            </w:r>
          </w:p>
        </w:tc>
        <w:tc>
          <w:tcPr>
            <w:tcW w:w="188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已发布的成品材料</w:t>
            </w:r>
          </w:p>
        </w:tc>
        <w:tc>
          <w:tcPr>
            <w:tcW w:w="188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中英文名称、TDS/SDS、分类与性能数据</w:t>
            </w:r>
          </w:p>
        </w:tc>
        <w:tc>
          <w:tcPr>
            <w:tcW w:w="188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面向外部会员的检索、详情和下载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通知与个人中心</w:t>
            </w:r>
          </w:p>
        </w:tc>
        <w:tc>
          <w:tcPr>
            <w:tcW w:w="18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通知和个人资料</w:t>
            </w:r>
          </w:p>
        </w:tc>
        <w:tc>
          <w:tcPr>
            <w:tcW w:w="18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用户账号</w:t>
            </w:r>
          </w:p>
        </w:tc>
        <w:tc>
          <w:tcPr>
            <w:tcW w:w="18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正确邮箱、组织及角色信息</w:t>
            </w:r>
          </w:p>
        </w:tc>
        <w:tc>
          <w:tcPr>
            <w:tcW w:w="18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接收审批、任务和业务变更提醒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系统管理</w:t>
            </w:r>
          </w:p>
        </w:tc>
        <w:tc>
          <w:tcPr>
            <w:tcW w:w="188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权限与基础配置</w:t>
            </w:r>
          </w:p>
        </w:tc>
        <w:tc>
          <w:tcPr>
            <w:tcW w:w="188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超级管理员或相应管理权限</w:t>
            </w:r>
          </w:p>
        </w:tc>
        <w:tc>
          <w:tcPr>
            <w:tcW w:w="188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变更方案和影响范围确认</w:t>
            </w:r>
          </w:p>
        </w:tc>
        <w:tc>
          <w:tcPr>
            <w:tcW w:w="188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6"/>
              </w:rPr>
              <w:t>影响菜单、数据范围、审批和全模块选项</w:t>
            </w:r>
          </w:p>
        </w:tc>
      </w:tr>
    </w:tbl>
    <w:p>
      <w:pPr>
        <w:spacing w:after="0"/>
      </w:pPr>
    </w:p>
    <w:p>
      <w:pPr>
        <w:pStyle w:val="4"/>
        <w:keepNext/>
        <w:keepLines/>
      </w:pPr>
      <w:bookmarkStart w:id="10" w:name="_Toc21962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2.8 常用场景前置检查</w:t>
      </w:r>
      <w:bookmarkEnd w:id="10"/>
    </w:p>
    <w:p>
      <w:r>
        <w:rPr>
          <w:rFonts w:ascii="微软雅黑" w:hAnsi="微软雅黑" w:eastAsia="微软雅黑"/>
          <w:b/>
          <w:color w:val="1F2937"/>
          <w:sz w:val="21"/>
        </w:rPr>
        <w:t>新建研发项目</w:t>
      </w:r>
    </w:p>
    <w:p>
      <w:pPr>
        <w:ind w:left="283"/>
      </w:pPr>
      <w:r>
        <w:rPr>
          <w:rFonts w:ascii="Segoe UI Symbol" w:hAnsi="Segoe UI Symbol" w:eastAsia="Segoe UI Symbol"/>
          <w:color w:val="2563EB"/>
          <w:sz w:val="21"/>
        </w:rPr>
        <w:t xml:space="preserve">☐ </w:t>
      </w:r>
      <w:r>
        <w:rPr>
          <w:rFonts w:ascii="微软雅黑" w:hAnsi="微软雅黑" w:eastAsia="微软雅黑"/>
          <w:color w:val="1F2937"/>
          <w:sz w:val="21"/>
        </w:rPr>
        <w:t>项目负责人账号已启用，且所属子公司、部门和工作组正确</w:t>
      </w:r>
    </w:p>
    <w:p>
      <w:pPr>
        <w:ind w:left="283"/>
      </w:pPr>
      <w:r>
        <w:rPr>
          <w:rFonts w:ascii="Segoe UI Symbol" w:hAnsi="Segoe UI Symbol" w:eastAsia="Segoe UI Symbol"/>
          <w:color w:val="2563EB"/>
          <w:sz w:val="21"/>
        </w:rPr>
        <w:t xml:space="preserve">☐ </w:t>
      </w:r>
      <w:r>
        <w:rPr>
          <w:rFonts w:ascii="微软雅黑" w:hAnsi="微软雅黑" w:eastAsia="微软雅黑"/>
          <w:color w:val="1F2937"/>
          <w:sz w:val="21"/>
        </w:rPr>
        <w:t>项目等级、业务板块和目标成品材料已维护</w:t>
      </w:r>
    </w:p>
    <w:p>
      <w:pPr>
        <w:ind w:left="283"/>
      </w:pPr>
      <w:r>
        <w:rPr>
          <w:rFonts w:ascii="Segoe UI Symbol" w:hAnsi="Segoe UI Symbol" w:eastAsia="Segoe UI Symbol"/>
          <w:color w:val="2563EB"/>
          <w:sz w:val="21"/>
        </w:rPr>
        <w:t xml:space="preserve">☐ </w:t>
      </w:r>
      <w:r>
        <w:rPr>
          <w:rFonts w:ascii="微软雅黑" w:hAnsi="微软雅黑" w:eastAsia="微软雅黑"/>
          <w:color w:val="1F2937"/>
          <w:sz w:val="21"/>
        </w:rPr>
        <w:t>客户和 OEM 已存在，销售负责人可选</w:t>
      </w:r>
    </w:p>
    <w:p>
      <w:pPr>
        <w:ind w:left="283"/>
      </w:pPr>
      <w:r>
        <w:rPr>
          <w:rFonts w:ascii="Segoe UI Symbol" w:hAnsi="Segoe UI Symbol" w:eastAsia="Segoe UI Symbol"/>
          <w:color w:val="2563EB"/>
          <w:sz w:val="21"/>
        </w:rPr>
        <w:t xml:space="preserve">☐ </w:t>
      </w:r>
      <w:r>
        <w:rPr>
          <w:rFonts w:ascii="微软雅黑" w:hAnsi="微软雅黑" w:eastAsia="微软雅黑"/>
          <w:color w:val="1F2937"/>
          <w:sz w:val="21"/>
        </w:rPr>
        <w:t>项目审批流程已启用并配置审批人</w:t>
      </w:r>
    </w:p>
    <w:p>
      <w:pPr>
        <w:ind w:left="283"/>
      </w:pPr>
      <w:r>
        <w:rPr>
          <w:rFonts w:ascii="Segoe UI Symbol" w:hAnsi="Segoe UI Symbol" w:eastAsia="Segoe UI Symbol"/>
          <w:color w:val="2563EB"/>
          <w:sz w:val="21"/>
        </w:rPr>
        <w:t xml:space="preserve">☐ </w:t>
      </w:r>
      <w:r>
        <w:rPr>
          <w:rFonts w:ascii="微软雅黑" w:hAnsi="微软雅黑" w:eastAsia="微软雅黑"/>
          <w:color w:val="1F2937"/>
          <w:sz w:val="21"/>
        </w:rPr>
        <w:t>计划加入的研发/销售成员已获得相应数据权限</w:t>
      </w:r>
    </w:p>
    <w:p>
      <w:r>
        <w:rPr>
          <w:rFonts w:ascii="微软雅黑" w:hAnsi="微软雅黑" w:eastAsia="微软雅黑"/>
          <w:b/>
          <w:color w:val="1F2937"/>
          <w:sz w:val="21"/>
        </w:rPr>
        <w:t>新建实验配方</w:t>
      </w:r>
    </w:p>
    <w:p>
      <w:pPr>
        <w:ind w:left="283"/>
      </w:pPr>
      <w:r>
        <w:rPr>
          <w:rFonts w:ascii="Segoe UI Symbol" w:hAnsi="Segoe UI Symbol" w:eastAsia="Segoe UI Symbol"/>
          <w:color w:val="2563EB"/>
          <w:sz w:val="21"/>
        </w:rPr>
        <w:t xml:space="preserve">☐ </w:t>
      </w:r>
      <w:r>
        <w:rPr>
          <w:rFonts w:ascii="微软雅黑" w:hAnsi="微软雅黑" w:eastAsia="微软雅黑"/>
          <w:color w:val="1F2937"/>
          <w:sz w:val="21"/>
        </w:rPr>
        <w:t>材料类型已维护</w:t>
      </w:r>
    </w:p>
    <w:p>
      <w:pPr>
        <w:ind w:left="283"/>
      </w:pPr>
      <w:r>
        <w:rPr>
          <w:rFonts w:ascii="Segoe UI Symbol" w:hAnsi="Segoe UI Symbol" w:eastAsia="Segoe UI Symbol"/>
          <w:color w:val="2563EB"/>
          <w:sz w:val="21"/>
        </w:rPr>
        <w:t xml:space="preserve">☐ </w:t>
      </w:r>
      <w:r>
        <w:rPr>
          <w:rFonts w:ascii="微软雅黑" w:hAnsi="微软雅黑" w:eastAsia="微软雅黑"/>
          <w:color w:val="1F2937"/>
          <w:sz w:val="21"/>
        </w:rPr>
        <w:t>所需原材料、类别和供应商已维护</w:t>
      </w:r>
    </w:p>
    <w:p>
      <w:pPr>
        <w:ind w:left="283"/>
      </w:pPr>
      <w:r>
        <w:rPr>
          <w:rFonts w:ascii="Segoe UI Symbol" w:hAnsi="Segoe UI Symbol" w:eastAsia="Segoe UI Symbol"/>
          <w:color w:val="2563EB"/>
          <w:sz w:val="21"/>
        </w:rPr>
        <w:t xml:space="preserve">☐ </w:t>
      </w:r>
      <w:r>
        <w:rPr>
          <w:rFonts w:ascii="微软雅黑" w:hAnsi="微软雅黑" w:eastAsia="微软雅黑"/>
          <w:color w:val="1F2937"/>
          <w:sz w:val="21"/>
        </w:rPr>
        <w:t>需要归属正式研发时，项目及当前阶段节点已创建</w:t>
      </w:r>
    </w:p>
    <w:p>
      <w:pPr>
        <w:ind w:left="283"/>
      </w:pPr>
      <w:r>
        <w:rPr>
          <w:rFonts w:ascii="Segoe UI Symbol" w:hAnsi="Segoe UI Symbol" w:eastAsia="Segoe UI Symbol"/>
          <w:color w:val="2563EB"/>
          <w:sz w:val="21"/>
        </w:rPr>
        <w:t xml:space="preserve">☐ </w:t>
      </w:r>
      <w:r>
        <w:rPr>
          <w:rFonts w:ascii="微软雅黑" w:hAnsi="微软雅黑" w:eastAsia="微软雅黑"/>
          <w:color w:val="1F2937"/>
          <w:sz w:val="21"/>
        </w:rPr>
        <w:t>需要引用工艺时，机台、螺杆和工艺方案已维护</w:t>
      </w:r>
    </w:p>
    <w:p>
      <w:pPr>
        <w:ind w:left="283"/>
      </w:pPr>
      <w:r>
        <w:rPr>
          <w:rFonts w:ascii="Segoe UI Symbol" w:hAnsi="Segoe UI Symbol" w:eastAsia="Segoe UI Symbol"/>
          <w:color w:val="2563EB"/>
          <w:sz w:val="21"/>
        </w:rPr>
        <w:t xml:space="preserve">☐ </w:t>
      </w:r>
      <w:r>
        <w:rPr>
          <w:rFonts w:ascii="微软雅黑" w:hAnsi="微软雅黑" w:eastAsia="微软雅黑"/>
          <w:color w:val="1F2937"/>
          <w:sz w:val="21"/>
        </w:rPr>
        <w:t>需要显示成本时，原材料价格、工厂和有效期间已维护</w:t>
      </w:r>
    </w:p>
    <w:p>
      <w:r>
        <w:rPr>
          <w:rFonts w:ascii="微软雅黑" w:hAnsi="微软雅黑" w:eastAsia="微软雅黑"/>
          <w:b/>
          <w:color w:val="1F2937"/>
          <w:sz w:val="21"/>
        </w:rPr>
        <w:t>新建试产工单</w:t>
      </w:r>
    </w:p>
    <w:p>
      <w:pPr>
        <w:ind w:left="283"/>
      </w:pPr>
      <w:r>
        <w:rPr>
          <w:rFonts w:ascii="Segoe UI Symbol" w:hAnsi="Segoe UI Symbol" w:eastAsia="Segoe UI Symbol"/>
          <w:color w:val="2563EB"/>
          <w:sz w:val="21"/>
        </w:rPr>
        <w:t xml:space="preserve">☐ </w:t>
      </w:r>
      <w:r>
        <w:rPr>
          <w:rFonts w:ascii="微软雅黑" w:hAnsi="微软雅黑" w:eastAsia="微软雅黑"/>
          <w:color w:val="1F2937"/>
          <w:sz w:val="21"/>
        </w:rPr>
        <w:t>项目、节点、实验单号和配方版本状态可用</w:t>
      </w:r>
    </w:p>
    <w:p>
      <w:pPr>
        <w:ind w:left="283"/>
      </w:pPr>
      <w:r>
        <w:rPr>
          <w:rFonts w:ascii="Segoe UI Symbol" w:hAnsi="Segoe UI Symbol" w:eastAsia="Segoe UI Symbol"/>
          <w:color w:val="2563EB"/>
          <w:sz w:val="21"/>
        </w:rPr>
        <w:t xml:space="preserve">☐ </w:t>
      </w:r>
      <w:r>
        <w:rPr>
          <w:rFonts w:ascii="微软雅黑" w:hAnsi="微软雅黑" w:eastAsia="微软雅黑"/>
          <w:color w:val="1F2937"/>
          <w:sz w:val="21"/>
        </w:rPr>
        <w:t>各配方版本计划产量及配色需求已确认</w:t>
      </w:r>
    </w:p>
    <w:p>
      <w:pPr>
        <w:ind w:left="283"/>
      </w:pPr>
      <w:r>
        <w:rPr>
          <w:rFonts w:ascii="Segoe UI Symbol" w:hAnsi="Segoe UI Symbol" w:eastAsia="Segoe UI Symbol"/>
          <w:color w:val="2563EB"/>
          <w:sz w:val="21"/>
        </w:rPr>
        <w:t xml:space="preserve">☐ </w:t>
      </w:r>
      <w:r>
        <w:rPr>
          <w:rFonts w:ascii="微软雅黑" w:hAnsi="微软雅黑" w:eastAsia="微软雅黑"/>
          <w:color w:val="1F2937"/>
          <w:sz w:val="21"/>
        </w:rPr>
        <w:t>工艺方案和操作员可选</w:t>
      </w:r>
    </w:p>
    <w:p>
      <w:pPr>
        <w:ind w:left="283"/>
      </w:pPr>
      <w:r>
        <w:rPr>
          <w:rFonts w:ascii="Segoe UI Symbol" w:hAnsi="Segoe UI Symbol" w:eastAsia="Segoe UI Symbol"/>
          <w:color w:val="2563EB"/>
          <w:sz w:val="21"/>
        </w:rPr>
        <w:t xml:space="preserve">☐ </w:t>
      </w:r>
      <w:r>
        <w:rPr>
          <w:rFonts w:ascii="微软雅黑" w:hAnsi="微软雅黑" w:eastAsia="微软雅黑"/>
          <w:color w:val="1F2937"/>
          <w:sz w:val="21"/>
        </w:rPr>
        <w:t>所需模具存在且状态可用，制样数量已确认</w:t>
      </w:r>
    </w:p>
    <w:p>
      <w:pPr>
        <w:ind w:left="283"/>
      </w:pPr>
      <w:r>
        <w:rPr>
          <w:rFonts w:ascii="Segoe UI Symbol" w:hAnsi="Segoe UI Symbol" w:eastAsia="Segoe UI Symbol"/>
          <w:color w:val="2563EB"/>
          <w:sz w:val="21"/>
        </w:rPr>
        <w:t xml:space="preserve">☐ </w:t>
      </w:r>
      <w:r>
        <w:rPr>
          <w:rFonts w:ascii="微软雅黑" w:hAnsi="微软雅黑" w:eastAsia="微软雅黑"/>
          <w:color w:val="1F2937"/>
          <w:sz w:val="21"/>
        </w:rPr>
        <w:t>测试标准已维护并完成选择</w:t>
      </w:r>
    </w:p>
    <w:p>
      <w:pPr>
        <w:ind w:left="283"/>
      </w:pPr>
      <w:r>
        <w:rPr>
          <w:rFonts w:ascii="Segoe UI Symbol" w:hAnsi="Segoe UI Symbol" w:eastAsia="Segoe UI Symbol"/>
          <w:color w:val="2563EB"/>
          <w:sz w:val="21"/>
        </w:rPr>
        <w:t xml:space="preserve">☐ </w:t>
      </w:r>
      <w:r>
        <w:rPr>
          <w:rFonts w:ascii="微软雅黑" w:hAnsi="微软雅黑" w:eastAsia="微软雅黑"/>
          <w:color w:val="1F2937"/>
          <w:sz w:val="21"/>
        </w:rPr>
        <w:t>工单审批流程和审批人配置有效</w:t>
      </w:r>
    </w:p>
    <w:p>
      <w:r>
        <w:rPr>
          <w:rFonts w:ascii="微软雅黑" w:hAnsi="微软雅黑" w:eastAsia="微软雅黑"/>
          <w:b/>
          <w:color w:val="1F2937"/>
          <w:sz w:val="21"/>
        </w:rPr>
        <w:t>完成测试并发布材料</w:t>
      </w:r>
    </w:p>
    <w:p>
      <w:pPr>
        <w:ind w:left="283"/>
      </w:pPr>
      <w:r>
        <w:rPr>
          <w:rFonts w:ascii="Segoe UI Symbol" w:hAnsi="Segoe UI Symbol" w:eastAsia="Segoe UI Symbol"/>
          <w:color w:val="2563EB"/>
          <w:sz w:val="21"/>
        </w:rPr>
        <w:t xml:space="preserve">☐ </w:t>
      </w:r>
      <w:r>
        <w:rPr>
          <w:rFonts w:ascii="微软雅黑" w:hAnsi="微软雅黑" w:eastAsia="微软雅黑"/>
          <w:color w:val="1F2937"/>
          <w:sz w:val="21"/>
        </w:rPr>
        <w:t>注塑已形成可用样条，或已确认测试样品来源</w:t>
      </w:r>
    </w:p>
    <w:p>
      <w:pPr>
        <w:ind w:left="283"/>
      </w:pPr>
      <w:r>
        <w:rPr>
          <w:rFonts w:ascii="Segoe UI Symbol" w:hAnsi="Segoe UI Symbol" w:eastAsia="Segoe UI Symbol"/>
          <w:color w:val="2563EB"/>
          <w:sz w:val="21"/>
        </w:rPr>
        <w:t xml:space="preserve">☐ </w:t>
      </w:r>
      <w:r>
        <w:rPr>
          <w:rFonts w:ascii="微软雅黑" w:hAnsi="微软雅黑" w:eastAsia="微软雅黑"/>
          <w:color w:val="1F2937"/>
          <w:sz w:val="21"/>
        </w:rPr>
        <w:t>测试任务中的配方版本和测试项目正确</w:t>
      </w:r>
    </w:p>
    <w:p>
      <w:pPr>
        <w:ind w:left="283"/>
      </w:pPr>
      <w:r>
        <w:rPr>
          <w:rFonts w:ascii="Segoe UI Symbol" w:hAnsi="Segoe UI Symbol" w:eastAsia="Segoe UI Symbol"/>
          <w:color w:val="2563EB"/>
          <w:sz w:val="21"/>
        </w:rPr>
        <w:t xml:space="preserve">☐ </w:t>
      </w:r>
      <w:r>
        <w:rPr>
          <w:rFonts w:ascii="微软雅黑" w:hAnsi="微软雅黑" w:eastAsia="微软雅黑"/>
          <w:color w:val="1F2937"/>
          <w:sz w:val="21"/>
        </w:rPr>
        <w:t>测试值、单位、日期及备注已复核并回写</w:t>
      </w:r>
    </w:p>
    <w:p>
      <w:pPr>
        <w:ind w:left="283"/>
      </w:pPr>
      <w:r>
        <w:rPr>
          <w:rFonts w:ascii="Segoe UI Symbol" w:hAnsi="Segoe UI Symbol" w:eastAsia="Segoe UI Symbol"/>
          <w:color w:val="2563EB"/>
          <w:sz w:val="21"/>
        </w:rPr>
        <w:t xml:space="preserve">☐ </w:t>
      </w:r>
      <w:r>
        <w:rPr>
          <w:rFonts w:ascii="微软雅黑" w:hAnsi="微软雅黑" w:eastAsia="微软雅黑"/>
          <w:color w:val="1F2937"/>
          <w:sz w:val="21"/>
        </w:rPr>
        <w:t>成品材料已关联正确的性能数据点和加工条件</w:t>
      </w:r>
    </w:p>
    <w:p>
      <w:pPr>
        <w:ind w:left="283"/>
      </w:pPr>
      <w:r>
        <w:rPr>
          <w:rFonts w:ascii="Segoe UI Symbol" w:hAnsi="Segoe UI Symbol" w:eastAsia="Segoe UI Symbol"/>
          <w:color w:val="2563EB"/>
          <w:sz w:val="21"/>
        </w:rPr>
        <w:t xml:space="preserve">☐ </w:t>
      </w:r>
      <w:r>
        <w:rPr>
          <w:rFonts w:ascii="微软雅黑" w:hAnsi="微软雅黑" w:eastAsia="微软雅黑"/>
          <w:color w:val="1F2937"/>
          <w:sz w:val="21"/>
        </w:rPr>
        <w:t>TDS/SDS 等附件及中英文发布信息完整</w:t>
      </w:r>
    </w:p>
    <w:p>
      <w:pPr>
        <w:pStyle w:val="4"/>
        <w:keepNext/>
        <w:keepLines/>
      </w:pPr>
      <w:bookmarkStart w:id="11" w:name="_Toc11220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2.9 删除与变更影响</w:t>
      </w:r>
      <w:bookmarkEnd w:id="11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7"/>
        <w:gridCol w:w="3137"/>
        <w:gridCol w:w="31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137" w:type="dxa"/>
            <w:shd w:val="clear" w:color="auto" w:fill="2563E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操作对象</w:t>
            </w:r>
          </w:p>
        </w:tc>
        <w:tc>
          <w:tcPr>
            <w:tcW w:w="3137" w:type="dxa"/>
            <w:shd w:val="clear" w:color="auto" w:fill="2563E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可能影响</w:t>
            </w:r>
          </w:p>
        </w:tc>
        <w:tc>
          <w:tcPr>
            <w:tcW w:w="3137" w:type="dxa"/>
            <w:shd w:val="clear" w:color="auto" w:fill="2563E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建议处理方式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原材料</w:t>
            </w:r>
          </w:p>
        </w:tc>
        <w:tc>
          <w:tcPr>
            <w:tcW w:w="31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 xml:space="preserve">已被配方 BOM 引用时受 </w:t>
            </w:r>
            <w:r>
              <w:rPr>
                <w:rFonts w:ascii="Consolas" w:hAnsi="Consolas" w:eastAsia="Consolas"/>
                <w:color w:val="B45309"/>
                <w:sz w:val="19"/>
                <w:shd w:val="clear" w:color="auto" w:fill="FFF7ED"/>
              </w:rPr>
              <w:t>PROTECT</w:t>
            </w:r>
            <w:r>
              <w:rPr>
                <w:rFonts w:ascii="微软雅黑" w:hAnsi="微软雅黑" w:eastAsia="微软雅黑"/>
                <w:color w:val="1F2937"/>
                <w:sz w:val="18"/>
              </w:rPr>
              <w:t xml:space="preserve"> 保护，不能直接删除</w:t>
            </w:r>
          </w:p>
        </w:tc>
        <w:tc>
          <w:tcPr>
            <w:tcW w:w="31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停用或标记失效；新配方改用替代原料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7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配方版本</w:t>
            </w:r>
          </w:p>
        </w:tc>
        <w:tc>
          <w:tcPr>
            <w:tcW w:w="3137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已被工单配方明细引用时受保护，投产后还可能被业务锁定</w:t>
            </w:r>
          </w:p>
        </w:tc>
        <w:tc>
          <w:tcPr>
            <w:tcW w:w="3137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保留历史版本，新建版本进行调整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测试标准</w:t>
            </w:r>
          </w:p>
        </w:tc>
        <w:tc>
          <w:tcPr>
            <w:tcW w:w="31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已形成配方测试结果时受保护</w:t>
            </w:r>
          </w:p>
        </w:tc>
        <w:tc>
          <w:tcPr>
            <w:tcW w:w="31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停用旧标准并新建标准，不覆盖历史定义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7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项目/节点</w:t>
            </w:r>
          </w:p>
        </w:tc>
        <w:tc>
          <w:tcPr>
            <w:tcW w:w="3137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关联配方、工单、成员、审批和绩效数据</w:t>
            </w:r>
          </w:p>
        </w:tc>
        <w:tc>
          <w:tcPr>
            <w:tcW w:w="3137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优先终止或关闭，不直接删除正式项目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客户/OEM/负责人等可选关联</w:t>
            </w:r>
          </w:p>
        </w:tc>
        <w:tc>
          <w:tcPr>
            <w:tcW w:w="31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部分关系允许置空，历史记录仍保留</w:t>
            </w:r>
          </w:p>
        </w:tc>
        <w:tc>
          <w:tcPr>
            <w:tcW w:w="31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变更前先确认报表和责任归属是否受影响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7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项目专属明细</w:t>
            </w:r>
          </w:p>
        </w:tc>
        <w:tc>
          <w:tcPr>
            <w:tcW w:w="3137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部分明细随主记录级联删除</w:t>
            </w:r>
          </w:p>
        </w:tc>
        <w:tc>
          <w:tcPr>
            <w:tcW w:w="3137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删除草稿主记录前查看明细、附件和审批状态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流程定义、表单模板</w:t>
            </w:r>
          </w:p>
        </w:tc>
        <w:tc>
          <w:tcPr>
            <w:tcW w:w="31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新业务可能无法提交，历史实例仍需保留</w:t>
            </w:r>
          </w:p>
        </w:tc>
        <w:tc>
          <w:tcPr>
            <w:tcW w:w="31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已使用配置应停用并新建版本，避免直接删除</w:t>
            </w:r>
          </w:p>
        </w:tc>
      </w:tr>
    </w:tbl>
    <w:p>
      <w:pPr>
        <w:spacing w:after="0"/>
      </w:pPr>
    </w:p>
    <w:p>
      <w:r>
        <w:rPr>
          <w:rFonts w:ascii="微软雅黑" w:hAnsi="微软雅黑" w:eastAsia="微软雅黑"/>
          <w:color w:val="1F2937"/>
          <w:sz w:val="21"/>
        </w:rPr>
        <w:t>正式业务数据通常应通过“停用、下架、终止、作废或新建版本”处理。只有确认数据未被引用且属于测试/草稿时，才执行删除；页面提示存在关联时，应停止操作并联系管理员核对。</w:t>
      </w:r>
    </w:p>
    <w:p>
      <w:pPr>
        <w:pBdr>
          <w:bottom w:val="single" w:color="CBD5E1" w:sz="8" w:space="1"/>
        </w:pBdr>
        <w:spacing w:after="100"/>
      </w:pPr>
    </w:p>
    <w:p>
      <w:pPr>
        <w:pStyle w:val="3"/>
        <w:keepNext/>
        <w:keepLines/>
        <w:pBdr>
          <w:bottom w:val="single" w:color="2563EB" w:sz="12" w:space="1"/>
        </w:pBdr>
      </w:pPr>
      <w:bookmarkStart w:id="12" w:name="_Toc27461"/>
      <w:r>
        <w:rPr>
          <w:rFonts w:ascii="微软雅黑" w:hAnsi="微软雅黑" w:eastAsia="微软雅黑"/>
          <w:b/>
          <w:i w:val="0"/>
          <w:color w:val="2563EB"/>
          <w:sz w:val="36"/>
          <w:u w:val="none"/>
        </w:rPr>
        <w:t>3. 快速开始</w:t>
      </w:r>
      <w:bookmarkEnd w:id="12"/>
    </w:p>
    <w:p>
      <w:pPr>
        <w:pStyle w:val="4"/>
        <w:keepNext/>
        <w:keepLines/>
      </w:pPr>
      <w:bookmarkStart w:id="13" w:name="_Toc13622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3.1 登录系统</w:t>
      </w:r>
      <w:bookmarkEnd w:id="13"/>
    </w:p>
    <w:p>
      <w:pPr>
        <w:spacing w:before="40" w:after="140"/>
      </w:pPr>
      <w:r>
        <w:rPr>
          <w:rFonts w:ascii="微软雅黑" w:hAnsi="微软雅黑" w:eastAsia="微软雅黑"/>
          <w:b/>
          <w:color w:val="1F2937"/>
          <w:sz w:val="21"/>
        </w:rPr>
        <w:t>操作入口：</w:t>
      </w:r>
      <w:r>
        <w:rPr>
          <w:rFonts w:ascii="微软雅黑" w:hAnsi="微软雅黑" w:eastAsia="微软雅黑"/>
          <w:color w:val="B45309"/>
          <w:sz w:val="19"/>
          <w:shd w:val="clear" w:color="auto" w:fill="FFF7ED"/>
        </w:rPr>
        <w:t>打开管理员提供的系统地址，系统会自动显示登录页。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输入注册邮箱。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输入密码。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输入图形验证码；看不清时点击验证码图片刷新。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如需在当前设备保持会话，勾选“在此设备上保持登录”。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点击“登录”。</w:t>
      </w:r>
    </w:p>
    <w:p>
      <w:r>
        <w:rPr>
          <w:rFonts w:ascii="微软雅黑" w:hAnsi="微软雅黑" w:eastAsia="微软雅黑"/>
          <w:color w:val="1F2937"/>
          <w:sz w:val="21"/>
        </w:rPr>
        <w:t>管理后台仅允许内部成员账号登录。客户或主机厂会员应使用产品电子手册入口，不能登录内部管理系统。</w:t>
      </w:r>
    </w:p>
    <w:p>
      <w:r>
        <w:rPr>
          <w:rFonts w:ascii="微软雅黑" w:hAnsi="微软雅黑" w:eastAsia="微软雅黑"/>
          <w:color w:val="1F2937"/>
          <w:sz w:val="21"/>
        </w:rPr>
        <w:t>若连续多次登录失败，账号会被临时锁定。请等待页面提示的锁定时间结束后再试，不要持续重复提交。</w:t>
      </w:r>
    </w:p>
    <w:p>
      <w:pPr>
        <w:pStyle w:val="4"/>
        <w:keepNext/>
        <w:keepLines/>
      </w:pPr>
      <w:bookmarkStart w:id="14" w:name="_Toc6086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3.2 注册账号</w:t>
      </w:r>
      <w:bookmarkEnd w:id="14"/>
    </w:p>
    <w:p>
      <w:pPr>
        <w:spacing w:before="40" w:after="140"/>
      </w:pPr>
      <w:r>
        <w:rPr>
          <w:rFonts w:ascii="微软雅黑" w:hAnsi="微软雅黑" w:eastAsia="微软雅黑"/>
          <w:b/>
          <w:color w:val="1F2937"/>
          <w:sz w:val="21"/>
        </w:rPr>
        <w:t>操作入口：</w:t>
      </w:r>
      <w:r>
        <w:rPr>
          <w:rFonts w:ascii="微软雅黑" w:hAnsi="微软雅黑" w:eastAsia="微软雅黑"/>
          <w:color w:val="B45309"/>
          <w:sz w:val="19"/>
          <w:shd w:val="clear" w:color="auto" w:fill="FFF7ED"/>
        </w:rPr>
        <w:t>在登录页底部点击“立即注册”。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点击登录页的“立即注册”。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填写用户名、邮箱和密码。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输入管理员提供的邀请码。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按页面要求完成验证码验证并提交。</w:t>
      </w:r>
    </w:p>
    <w:p>
      <w:r>
        <w:rPr>
          <w:rFonts w:ascii="微软雅黑" w:hAnsi="微软雅黑" w:eastAsia="微软雅黑"/>
          <w:color w:val="1F2937"/>
          <w:sz w:val="21"/>
        </w:rPr>
        <w:t>若页面提示“系统暂未开放注册”，请联系管理员创建账号或开启邀请码注册。</w:t>
      </w:r>
    </w:p>
    <w:p>
      <w:pPr>
        <w:pStyle w:val="4"/>
        <w:keepNext/>
        <w:keepLines/>
      </w:pPr>
      <w:bookmarkStart w:id="15" w:name="_Toc25438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3.3 忘记密码</w:t>
      </w:r>
      <w:bookmarkEnd w:id="15"/>
    </w:p>
    <w:p>
      <w:pPr>
        <w:spacing w:before="40" w:after="140"/>
      </w:pPr>
      <w:r>
        <w:rPr>
          <w:rFonts w:ascii="微软雅黑" w:hAnsi="微软雅黑" w:eastAsia="微软雅黑"/>
          <w:b/>
          <w:color w:val="1F2937"/>
          <w:sz w:val="21"/>
        </w:rPr>
        <w:t>操作入口：</w:t>
      </w:r>
      <w:r>
        <w:rPr>
          <w:rFonts w:ascii="微软雅黑" w:hAnsi="微软雅黑" w:eastAsia="微软雅黑"/>
          <w:color w:val="B45309"/>
          <w:sz w:val="19"/>
          <w:shd w:val="clear" w:color="auto" w:fill="FFF7ED"/>
        </w:rPr>
        <w:t>在登录页“密码”右侧点击“忘记密码？”。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输入注册邮箱。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输入图形验证码。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点击“发送验证码”，到邮箱查收验证码。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输入邮箱验证码、新密码和确认密码。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点击“重置密码”。</w:t>
      </w:r>
    </w:p>
    <w:p>
      <w:r>
        <w:rPr>
          <w:rFonts w:ascii="微软雅黑" w:hAnsi="微软雅黑" w:eastAsia="微软雅黑"/>
          <w:color w:val="1F2937"/>
          <w:sz w:val="21"/>
        </w:rPr>
        <w:t>邮箱验证码发送频率为同一邮箱或同一 IP 每 60 秒一次。</w:t>
      </w:r>
    </w:p>
    <w:p>
      <w:pPr>
        <w:pStyle w:val="4"/>
        <w:keepNext/>
        <w:keepLines/>
      </w:pPr>
      <w:bookmarkStart w:id="16" w:name="_Toc18797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3.4 首次登录建议</w:t>
      </w:r>
      <w:bookmarkEnd w:id="16"/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打开右上角用户菜单，进入“个人中心”。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检查姓名、部门、子公司/基地、角色和工作组是否正确。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进入“个人工作台”，查看待办任务和已发起流程。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打开右上角通知铃铛，处理未读消息。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若菜单缺失或数据不可见，记录页面地址和业务对象编号后联系管理员。</w:t>
      </w:r>
    </w:p>
    <w:p>
      <w:pPr>
        <w:pBdr>
          <w:bottom w:val="single" w:color="CBD5E1" w:sz="8" w:space="1"/>
        </w:pBdr>
        <w:spacing w:after="100"/>
      </w:pPr>
    </w:p>
    <w:p>
      <w:pPr>
        <w:pStyle w:val="3"/>
        <w:keepNext/>
        <w:keepLines/>
        <w:pBdr>
          <w:bottom w:val="single" w:color="2563EB" w:sz="12" w:space="1"/>
        </w:pBdr>
      </w:pPr>
      <w:bookmarkStart w:id="17" w:name="_Toc5296"/>
      <w:r>
        <w:rPr>
          <w:rFonts w:ascii="微软雅黑" w:hAnsi="微软雅黑" w:eastAsia="微软雅黑"/>
          <w:b/>
          <w:i w:val="0"/>
          <w:color w:val="2563EB"/>
          <w:sz w:val="36"/>
          <w:u w:val="none"/>
        </w:rPr>
        <w:t>4. 界面与通用操作</w:t>
      </w:r>
      <w:bookmarkEnd w:id="17"/>
    </w:p>
    <w:p>
      <w:pPr>
        <w:pStyle w:val="4"/>
        <w:keepNext/>
        <w:keepLines/>
      </w:pPr>
      <w:bookmarkStart w:id="18" w:name="_Toc29382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4.1 左侧导航</w:t>
      </w:r>
      <w:bookmarkEnd w:id="18"/>
    </w:p>
    <w:p>
      <w:r>
        <w:rPr>
          <w:rFonts w:ascii="微软雅黑" w:hAnsi="微软雅黑" w:eastAsia="微软雅黑"/>
          <w:color w:val="1F2937"/>
          <w:sz w:val="21"/>
        </w:rPr>
        <w:t>左侧导航按权限动态展示，主要包括：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05"/>
        <w:gridCol w:w="47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705" w:type="dxa"/>
            <w:shd w:val="clear" w:color="auto" w:fill="2563E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菜单</w:t>
            </w:r>
          </w:p>
        </w:tc>
        <w:tc>
          <w:tcPr>
            <w:tcW w:w="4705" w:type="dxa"/>
            <w:shd w:val="clear" w:color="auto" w:fill="2563E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主要用途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看板工作台</w:t>
            </w:r>
          </w:p>
        </w:tc>
        <w:tc>
          <w:tcPr>
            <w:tcW w:w="470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个人任务、系统统计、项目全景和客户行为分析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5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项目管理中心</w:t>
            </w:r>
          </w:p>
        </w:tc>
        <w:tc>
          <w:tcPr>
            <w:tcW w:w="4705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项目、阶段节点、成员、绩效及项目配置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客户档案中心</w:t>
            </w:r>
          </w:p>
        </w:tc>
        <w:tc>
          <w:tcPr>
            <w:tcW w:w="470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客户、客户排行、主机厂及项目档案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5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基础预研中心</w:t>
            </w:r>
          </w:p>
        </w:tc>
        <w:tc>
          <w:tcPr>
            <w:tcW w:w="4705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独立预研项目和阶段推进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材料成品库</w:t>
            </w:r>
          </w:p>
        </w:tc>
        <w:tc>
          <w:tcPr>
            <w:tcW w:w="470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成品材料、性能指标和分类配置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5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实验配方库</w:t>
            </w:r>
          </w:p>
        </w:tc>
        <w:tc>
          <w:tcPr>
            <w:tcW w:w="4705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配方 BOM、成本、测试结果及对比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试验排产中心</w:t>
            </w:r>
          </w:p>
        </w:tc>
        <w:tc>
          <w:tcPr>
            <w:tcW w:w="470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试产工单、库存和排产日历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5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挤出排产中心</w:t>
            </w:r>
          </w:p>
        </w:tc>
        <w:tc>
          <w:tcPr>
            <w:tcW w:w="4705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排产工作台和挤出任务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材料配色中心</w:t>
            </w:r>
          </w:p>
        </w:tc>
        <w:tc>
          <w:tcPr>
            <w:tcW w:w="470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配色任务和项目配色 BOM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5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模具注塑中心</w:t>
            </w:r>
          </w:p>
        </w:tc>
        <w:tc>
          <w:tcPr>
            <w:tcW w:w="4705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注塑任务、样品库存和模具台账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材料测试中心</w:t>
            </w:r>
          </w:p>
        </w:tc>
        <w:tc>
          <w:tcPr>
            <w:tcW w:w="470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测试任务、结果填写及回写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5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生产工艺库</w:t>
            </w:r>
          </w:p>
        </w:tc>
        <w:tc>
          <w:tcPr>
            <w:tcW w:w="4705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工艺方案、机台型号和螺杆组合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原材料/供应商</w:t>
            </w:r>
          </w:p>
        </w:tc>
        <w:tc>
          <w:tcPr>
            <w:tcW w:w="470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原材料、类型和供应商资料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5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表单管理中心</w:t>
            </w:r>
          </w:p>
        </w:tc>
        <w:tc>
          <w:tcPr>
            <w:tcW w:w="4705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动态表单、草稿和提交记录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流程审批中心</w:t>
            </w:r>
          </w:p>
        </w:tc>
        <w:tc>
          <w:tcPr>
            <w:tcW w:w="470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待办、已办、我发起的流程和流程定义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5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系统管理设置</w:t>
            </w:r>
          </w:p>
        </w:tc>
        <w:tc>
          <w:tcPr>
            <w:tcW w:w="4705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仅管理员使用的系统配置与底层管理</w:t>
            </w:r>
          </w:p>
        </w:tc>
      </w:tr>
    </w:tbl>
    <w:p>
      <w:pPr>
        <w:spacing w:after="0"/>
      </w:pPr>
    </w:p>
    <w:p>
      <w:r>
        <w:rPr>
          <w:rFonts w:ascii="微软雅黑" w:hAnsi="微软雅黑" w:eastAsia="微软雅黑"/>
          <w:color w:val="1F2937"/>
          <w:sz w:val="21"/>
        </w:rPr>
        <w:t>移动端可点击左上角菜单按钮展开或收起导航。</w:t>
      </w:r>
    </w:p>
    <w:p>
      <w:pPr>
        <w:pStyle w:val="4"/>
        <w:keepNext/>
        <w:keepLines/>
      </w:pPr>
      <w:bookmarkStart w:id="19" w:name="_Toc12373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4.2 顶部工具栏</w:t>
      </w:r>
      <w:bookmarkEnd w:id="19"/>
    </w:p>
    <w:p>
      <w:pPr>
        <w:pStyle w:val="16"/>
      </w:pPr>
      <w:r>
        <w:rPr>
          <w:rFonts w:ascii="微软雅黑" w:hAnsi="微软雅黑" w:eastAsia="微软雅黑"/>
          <w:b/>
          <w:color w:val="1F2937"/>
          <w:sz w:val="21"/>
        </w:rPr>
        <w:t>搜索框</w:t>
      </w:r>
      <w:r>
        <w:rPr>
          <w:rFonts w:ascii="微软雅黑" w:hAnsi="微软雅黑" w:eastAsia="微软雅黑"/>
          <w:color w:val="1F2937"/>
          <w:sz w:val="21"/>
        </w:rPr>
        <w:t>：用于搜索项目等业务信息；复杂查询建议进入对应模块列表使用筛选器。</w:t>
      </w:r>
    </w:p>
    <w:p>
      <w:pPr>
        <w:pStyle w:val="16"/>
      </w:pPr>
      <w:r>
        <w:rPr>
          <w:rFonts w:ascii="微软雅黑" w:hAnsi="微软雅黑" w:eastAsia="微软雅黑"/>
          <w:b/>
          <w:color w:val="1F2937"/>
          <w:sz w:val="21"/>
        </w:rPr>
        <w:t>配方对比清单</w:t>
      </w:r>
      <w:r>
        <w:rPr>
          <w:rFonts w:ascii="微软雅黑" w:hAnsi="微软雅黑" w:eastAsia="微软雅黑"/>
          <w:color w:val="1F2937"/>
          <w:sz w:val="21"/>
        </w:rPr>
        <w:t>：仅对有相应研发权限的用户显示，可集中对比所选配方。</w:t>
      </w:r>
    </w:p>
    <w:p>
      <w:pPr>
        <w:pStyle w:val="16"/>
      </w:pPr>
      <w:r>
        <w:rPr>
          <w:rFonts w:ascii="微软雅黑" w:hAnsi="微软雅黑" w:eastAsia="微软雅黑"/>
          <w:b/>
          <w:color w:val="1F2937"/>
          <w:sz w:val="21"/>
        </w:rPr>
        <w:t>深色/浅色模式</w:t>
      </w:r>
      <w:r>
        <w:rPr>
          <w:rFonts w:ascii="微软雅黑" w:hAnsi="微软雅黑" w:eastAsia="微软雅黑"/>
          <w:color w:val="1F2937"/>
          <w:sz w:val="21"/>
        </w:rPr>
        <w:t>：切换页面显示主题。</w:t>
      </w:r>
    </w:p>
    <w:p>
      <w:pPr>
        <w:pStyle w:val="16"/>
      </w:pPr>
      <w:r>
        <w:rPr>
          <w:rFonts w:ascii="微软雅黑" w:hAnsi="微软雅黑" w:eastAsia="微软雅黑"/>
          <w:b/>
          <w:color w:val="1F2937"/>
          <w:sz w:val="21"/>
        </w:rPr>
        <w:t>通知铃铛</w:t>
      </w:r>
      <w:r>
        <w:rPr>
          <w:rFonts w:ascii="微软雅黑" w:hAnsi="微软雅黑" w:eastAsia="微软雅黑"/>
          <w:color w:val="1F2937"/>
          <w:sz w:val="21"/>
        </w:rPr>
        <w:t>：显示未读数量和最近消息。</w:t>
      </w:r>
    </w:p>
    <w:p>
      <w:pPr>
        <w:pStyle w:val="16"/>
      </w:pPr>
      <w:r>
        <w:rPr>
          <w:rFonts w:ascii="微软雅黑" w:hAnsi="微软雅黑" w:eastAsia="微软雅黑"/>
          <w:b/>
          <w:color w:val="1F2937"/>
          <w:sz w:val="21"/>
        </w:rPr>
        <w:t>用户菜单</w:t>
      </w:r>
      <w:r>
        <w:rPr>
          <w:rFonts w:ascii="微软雅黑" w:hAnsi="微软雅黑" w:eastAsia="微软雅黑"/>
          <w:color w:val="1F2937"/>
          <w:sz w:val="21"/>
        </w:rPr>
        <w:t>：进入个人中心或退出登录。</w:t>
      </w:r>
    </w:p>
    <w:p>
      <w:pPr>
        <w:pStyle w:val="4"/>
        <w:keepNext/>
        <w:keepLines/>
      </w:pPr>
      <w:bookmarkStart w:id="20" w:name="_Toc27105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4.3 列表页</w:t>
      </w:r>
      <w:bookmarkEnd w:id="20"/>
    </w:p>
    <w:p>
      <w:r>
        <w:rPr>
          <w:rFonts w:ascii="微软雅黑" w:hAnsi="微软雅黑" w:eastAsia="微软雅黑"/>
          <w:color w:val="1F2937"/>
          <w:sz w:val="21"/>
        </w:rPr>
        <w:t>常见操作方式：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在搜索框输入名称、编码或关键词。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选择状态、分类、负责人、日期等筛选条件。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点击“筛选/搜索”。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点击“重置”清空条件。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使用底部分页切换记录。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点击记录名称或操作列图标查看详情、编辑或复制。</w:t>
      </w:r>
    </w:p>
    <w:p>
      <w:pPr>
        <w:pStyle w:val="4"/>
        <w:keepNext/>
        <w:keepLines/>
      </w:pPr>
      <w:bookmarkStart w:id="21" w:name="_Toc14726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4.4 表单页</w:t>
      </w:r>
      <w:bookmarkEnd w:id="21"/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下拉搜索框支持输入关键词后选择，不要只输入文本而未选中结果。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多选字段可选择多个标签，点击标签上的移除按钮可取消。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日期和时间字段按浏览器日期控件选择。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动态明细行可新增或删除；删除已有行后必须提交整个表单才会生效。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保存失败时，先查看页面顶部和具体字段下方的红色错误提示。</w:t>
      </w:r>
    </w:p>
    <w:p>
      <w:pPr>
        <w:pStyle w:val="4"/>
        <w:keepNext/>
        <w:keepLines/>
      </w:pPr>
      <w:bookmarkStart w:id="22" w:name="_Toc7405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4.5 附件</w:t>
      </w:r>
      <w:bookmarkEnd w:id="22"/>
    </w:p>
    <w:p>
      <w:r>
        <w:rPr>
          <w:rFonts w:ascii="微软雅黑" w:hAnsi="微软雅黑" w:eastAsia="微软雅黑"/>
          <w:color w:val="1F2937"/>
          <w:sz w:val="21"/>
        </w:rPr>
        <w:t>项目、材料、表单等页面可能显示统一附件面板。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点击上传按钮或将文件拖入上传区域。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等待上传完成并确认文件出现在列表中。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点击文件名下载；支持的 CAD 文件可使用预览按钮。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删除附件前确认文件未被其他流程或同事使用。</w:t>
      </w:r>
    </w:p>
    <w:p>
      <w:r>
        <w:rPr>
          <w:rFonts w:ascii="微软雅黑" w:hAnsi="微软雅黑" w:eastAsia="微软雅黑"/>
          <w:color w:val="1F2937"/>
          <w:sz w:val="21"/>
        </w:rPr>
        <w:t>附件上传、下载和删除都受业务对象权限控制。上传失败时检查文件大小、类型和当前对象是否允许编辑。</w:t>
      </w:r>
    </w:p>
    <w:p>
      <w:pPr>
        <w:pBdr>
          <w:bottom w:val="single" w:color="CBD5E1" w:sz="8" w:space="1"/>
        </w:pBdr>
        <w:spacing w:after="100"/>
      </w:pPr>
    </w:p>
    <w:p>
      <w:pPr>
        <w:pStyle w:val="3"/>
        <w:keepNext/>
        <w:keepLines/>
        <w:pBdr>
          <w:bottom w:val="single" w:color="2563EB" w:sz="12" w:space="1"/>
        </w:pBdr>
      </w:pPr>
      <w:bookmarkStart w:id="23" w:name="_Toc26145"/>
      <w:r>
        <w:rPr>
          <w:rFonts w:ascii="微软雅黑" w:hAnsi="微软雅黑" w:eastAsia="微软雅黑"/>
          <w:b/>
          <w:i w:val="0"/>
          <w:color w:val="2563EB"/>
          <w:sz w:val="36"/>
          <w:u w:val="none"/>
        </w:rPr>
        <w:t>5. 权限与数据范围</w:t>
      </w:r>
      <w:bookmarkEnd w:id="23"/>
    </w:p>
    <w:p>
      <w:r>
        <w:rPr>
          <w:rFonts w:ascii="微软雅黑" w:hAnsi="微软雅黑" w:eastAsia="微软雅黑"/>
          <w:color w:val="1F2937"/>
          <w:sz w:val="21"/>
        </w:rPr>
        <w:t>系统采用多层权限控制：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7"/>
        <w:gridCol w:w="3137"/>
        <w:gridCol w:w="31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137" w:type="dxa"/>
            <w:shd w:val="clear" w:color="auto" w:fill="2563E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层级</w:t>
            </w:r>
          </w:p>
        </w:tc>
        <w:tc>
          <w:tcPr>
            <w:tcW w:w="3137" w:type="dxa"/>
            <w:shd w:val="clear" w:color="auto" w:fill="2563E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含义</w:t>
            </w:r>
          </w:p>
        </w:tc>
        <w:tc>
          <w:tcPr>
            <w:tcW w:w="3137" w:type="dxa"/>
            <w:shd w:val="clear" w:color="auto" w:fill="2563E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常见表现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角色准入</w:t>
            </w:r>
          </w:p>
        </w:tc>
        <w:tc>
          <w:tcPr>
            <w:tcW w:w="31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当前角色是否允许进入模块</w:t>
            </w:r>
          </w:p>
        </w:tc>
        <w:tc>
          <w:tcPr>
            <w:tcW w:w="31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左侧菜单不显示或访问后提示无权限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7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等级准入</w:t>
            </w:r>
          </w:p>
        </w:tc>
        <w:tc>
          <w:tcPr>
            <w:tcW w:w="3137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用户等级是否达到模块最低要求</w:t>
            </w:r>
          </w:p>
        </w:tc>
        <w:tc>
          <w:tcPr>
            <w:tcW w:w="3137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能看到菜单但无法进入受限功能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操作权限</w:t>
            </w:r>
          </w:p>
        </w:tc>
        <w:tc>
          <w:tcPr>
            <w:tcW w:w="31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是否拥有查看、新增、修改或删除权限</w:t>
            </w:r>
          </w:p>
        </w:tc>
        <w:tc>
          <w:tcPr>
            <w:tcW w:w="31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详情可见，但新增/编辑/删除按钮不显示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7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部门隔离</w:t>
            </w:r>
          </w:p>
        </w:tc>
        <w:tc>
          <w:tcPr>
            <w:tcW w:w="3137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只能查看允许部门的数据</w:t>
            </w:r>
          </w:p>
        </w:tc>
        <w:tc>
          <w:tcPr>
            <w:tcW w:w="3137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列表记录比其他同事少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工作组隔离</w:t>
            </w:r>
          </w:p>
        </w:tc>
        <w:tc>
          <w:tcPr>
            <w:tcW w:w="31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只能查看所属工作组的数据</w:t>
            </w:r>
          </w:p>
        </w:tc>
        <w:tc>
          <w:tcPr>
            <w:tcW w:w="31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同部门不同工作组看到的数据不同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7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对象权限</w:t>
            </w:r>
          </w:p>
        </w:tc>
        <w:tc>
          <w:tcPr>
            <w:tcW w:w="3137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是否为负责人、成员、审批人或创建人</w:t>
            </w:r>
          </w:p>
        </w:tc>
        <w:tc>
          <w:tcPr>
            <w:tcW w:w="3137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只能编辑自己负责的项目或任务</w:t>
            </w:r>
          </w:p>
        </w:tc>
      </w:tr>
    </w:tbl>
    <w:p>
      <w:pPr>
        <w:spacing w:after="0"/>
      </w:pPr>
    </w:p>
    <w:p>
      <w:r>
        <w:rPr>
          <w:rFonts w:ascii="微软雅黑" w:hAnsi="微软雅黑" w:eastAsia="微软雅黑"/>
          <w:color w:val="1F2937"/>
          <w:sz w:val="21"/>
        </w:rPr>
        <w:t xml:space="preserve">超级管理员通常可绕过业务准入限制。普通用户遇到 </w:t>
      </w:r>
      <w:r>
        <w:rPr>
          <w:rFonts w:ascii="Consolas" w:hAnsi="Consolas" w:eastAsia="Consolas"/>
          <w:color w:val="B45309"/>
          <w:sz w:val="19"/>
          <w:shd w:val="clear" w:color="auto" w:fill="FFF7ED"/>
        </w:rPr>
        <w:t>403</w:t>
      </w:r>
      <w:r>
        <w:rPr>
          <w:rFonts w:ascii="微软雅黑" w:hAnsi="微软雅黑" w:eastAsia="微软雅黑"/>
          <w:color w:val="1F2937"/>
          <w:sz w:val="21"/>
        </w:rPr>
        <w:t xml:space="preserve"> 或“权限不足”时，应联系管理员核对以下信息：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用户角色与等级；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所属子公司、部门和工作组；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Django 用户组及具体权限码；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业务对象的负责人、协同成员或审批人；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模块是否已启用并配置允许角色。</w:t>
      </w:r>
    </w:p>
    <w:p>
      <w:r>
        <w:rPr>
          <w:rFonts w:ascii="微软雅黑" w:hAnsi="微软雅黑" w:eastAsia="微软雅黑"/>
          <w:color w:val="1F2937"/>
          <w:sz w:val="21"/>
        </w:rPr>
        <w:t>不要借用他人账号处理业务。审批、回写和状态变更会记录实际操作人。</w:t>
      </w:r>
    </w:p>
    <w:p>
      <w:pPr>
        <w:pBdr>
          <w:bottom w:val="single" w:color="CBD5E1" w:sz="8" w:space="1"/>
        </w:pBdr>
        <w:spacing w:after="100"/>
      </w:pPr>
    </w:p>
    <w:p>
      <w:pPr>
        <w:pStyle w:val="3"/>
        <w:keepNext/>
        <w:keepLines/>
        <w:pBdr>
          <w:bottom w:val="single" w:color="2563EB" w:sz="12" w:space="1"/>
        </w:pBdr>
      </w:pPr>
      <w:bookmarkStart w:id="24" w:name="_Toc12541"/>
      <w:r>
        <w:rPr>
          <w:rFonts w:ascii="微软雅黑" w:hAnsi="微软雅黑" w:eastAsia="微软雅黑"/>
          <w:b/>
          <w:i w:val="0"/>
          <w:color w:val="2563EB"/>
          <w:sz w:val="36"/>
          <w:u w:val="none"/>
        </w:rPr>
        <w:t>6. 推荐业务流程</w:t>
      </w:r>
      <w:bookmarkEnd w:id="24"/>
    </w:p>
    <w:p>
      <w:pPr>
        <w:pStyle w:val="4"/>
        <w:keepNext/>
        <w:keepLines/>
      </w:pPr>
      <w:bookmarkStart w:id="25" w:name="_Toc6899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6.1 新产品研发主流程</w:t>
      </w:r>
      <w:bookmarkEnd w:id="25"/>
    </w:p>
    <w:p>
      <w:pPr>
        <w:shd w:val="clear" w:fill="F3F4F6"/>
        <w:spacing w:before="60" w:after="160" w:line="276" w:lineRule="auto"/>
        <w:ind w:left="198" w:right="142"/>
      </w:pPr>
      <w:r>
        <w:rPr>
          <w:rFonts w:ascii="Consolas" w:hAnsi="Consolas" w:eastAsia="Consolas"/>
          <w:color w:val="1F2937"/>
          <w:sz w:val="17"/>
        </w:rPr>
        <w:t>维护客户/OEM与基础资料</w:t>
      </w:r>
      <w:r>
        <w:br w:type="textWrapping"/>
      </w:r>
      <w:r>
        <w:rPr>
          <w:rFonts w:ascii="Consolas" w:hAnsi="Consolas" w:eastAsia="Consolas"/>
          <w:color w:val="1F2937"/>
          <w:sz w:val="17"/>
        </w:rPr>
        <w:t xml:space="preserve">        ↓</w:t>
      </w:r>
      <w:r>
        <w:br w:type="textWrapping"/>
      </w:r>
      <w:r>
        <w:rPr>
          <w:rFonts w:ascii="Consolas" w:hAnsi="Consolas" w:eastAsia="Consolas"/>
          <w:color w:val="1F2937"/>
          <w:sz w:val="17"/>
        </w:rPr>
        <w:t>创建研发项目并配置负责人、研发成员、销售成员</w:t>
      </w:r>
      <w:r>
        <w:br w:type="textWrapping"/>
      </w:r>
      <w:r>
        <w:rPr>
          <w:rFonts w:ascii="Consolas" w:hAnsi="Consolas" w:eastAsia="Consolas"/>
          <w:color w:val="1F2937"/>
          <w:sz w:val="17"/>
        </w:rPr>
        <w:t xml:space="preserve">        ↓</w:t>
      </w:r>
      <w:r>
        <w:br w:type="textWrapping"/>
      </w:r>
      <w:r>
        <w:rPr>
          <w:rFonts w:ascii="Consolas" w:hAnsi="Consolas" w:eastAsia="Consolas"/>
          <w:color w:val="1F2937"/>
          <w:sz w:val="17"/>
        </w:rPr>
        <w:t>推进当前项目阶段，创建实验配方与版本</w:t>
      </w:r>
      <w:r>
        <w:br w:type="textWrapping"/>
      </w:r>
      <w:r>
        <w:rPr>
          <w:rFonts w:ascii="Consolas" w:hAnsi="Consolas" w:eastAsia="Consolas"/>
          <w:color w:val="1F2937"/>
          <w:sz w:val="17"/>
        </w:rPr>
        <w:t xml:space="preserve">        ↓</w:t>
      </w:r>
      <w:r>
        <w:br w:type="textWrapping"/>
      </w:r>
      <w:r>
        <w:rPr>
          <w:rFonts w:ascii="Consolas" w:hAnsi="Consolas" w:eastAsia="Consolas"/>
          <w:color w:val="1F2937"/>
          <w:sz w:val="17"/>
        </w:rPr>
        <w:t>从配方/项目发起试产工单，配置产量、工艺、配色、模具和测试项</w:t>
      </w:r>
      <w:r>
        <w:br w:type="textWrapping"/>
      </w:r>
      <w:r>
        <w:rPr>
          <w:rFonts w:ascii="Consolas" w:hAnsi="Consolas" w:eastAsia="Consolas"/>
          <w:color w:val="1F2937"/>
          <w:sz w:val="17"/>
        </w:rPr>
        <w:t xml:space="preserve">        ↓</w:t>
      </w:r>
      <w:r>
        <w:br w:type="textWrapping"/>
      </w:r>
      <w:r>
        <w:rPr>
          <w:rFonts w:ascii="Consolas" w:hAnsi="Consolas" w:eastAsia="Consolas"/>
          <w:color w:val="1F2937"/>
          <w:sz w:val="17"/>
        </w:rPr>
        <w:t>提交审批 → 审批通过/发单</w:t>
      </w:r>
      <w:r>
        <w:br w:type="textWrapping"/>
      </w:r>
      <w:r>
        <w:rPr>
          <w:rFonts w:ascii="Consolas" w:hAnsi="Consolas" w:eastAsia="Consolas"/>
          <w:color w:val="1F2937"/>
          <w:sz w:val="17"/>
        </w:rPr>
        <w:t xml:space="preserve">        ↓</w:t>
      </w:r>
      <w:r>
        <w:br w:type="textWrapping"/>
      </w:r>
      <w:r>
        <w:rPr>
          <w:rFonts w:ascii="Consolas" w:hAnsi="Consolas" w:eastAsia="Consolas"/>
          <w:color w:val="1F2937"/>
          <w:sz w:val="17"/>
        </w:rPr>
        <w:t>排产工作台安排挤出时间和操作员</w:t>
      </w:r>
      <w:r>
        <w:br w:type="textWrapping"/>
      </w:r>
      <w:r>
        <w:rPr>
          <w:rFonts w:ascii="Consolas" w:hAnsi="Consolas" w:eastAsia="Consolas"/>
          <w:color w:val="1F2937"/>
          <w:sz w:val="17"/>
        </w:rPr>
        <w:t xml:space="preserve">        ↓</w:t>
      </w:r>
      <w:r>
        <w:br w:type="textWrapping"/>
      </w:r>
      <w:r>
        <w:rPr>
          <w:rFonts w:ascii="Consolas" w:hAnsi="Consolas" w:eastAsia="Consolas"/>
          <w:color w:val="1F2937"/>
          <w:sz w:val="17"/>
        </w:rPr>
        <w:t>开始挤出 → 填写实际工艺记录 → 完成挤出</w:t>
      </w:r>
      <w:r>
        <w:br w:type="textWrapping"/>
      </w:r>
      <w:r>
        <w:rPr>
          <w:rFonts w:ascii="Consolas" w:hAnsi="Consolas" w:eastAsia="Consolas"/>
          <w:color w:val="1F2937"/>
          <w:sz w:val="17"/>
        </w:rPr>
        <w:t xml:space="preserve">        ↓</w:t>
      </w:r>
      <w:r>
        <w:br w:type="textWrapping"/>
      </w:r>
      <w:r>
        <w:rPr>
          <w:rFonts w:ascii="Consolas" w:hAnsi="Consolas" w:eastAsia="Consolas"/>
          <w:color w:val="1F2937"/>
          <w:sz w:val="17"/>
        </w:rPr>
        <w:t>颗粒分拨：成品库存 / 注塑 / 其他用途</w:t>
      </w:r>
      <w:r>
        <w:br w:type="textWrapping"/>
      </w:r>
      <w:r>
        <w:rPr>
          <w:rFonts w:ascii="Consolas" w:hAnsi="Consolas" w:eastAsia="Consolas"/>
          <w:color w:val="1F2937"/>
          <w:sz w:val="17"/>
        </w:rPr>
        <w:t xml:space="preserve">        ↓</w:t>
      </w:r>
      <w:r>
        <w:br w:type="textWrapping"/>
      </w:r>
      <w:r>
        <w:rPr>
          <w:rFonts w:ascii="Consolas" w:hAnsi="Consolas" w:eastAsia="Consolas"/>
          <w:color w:val="1F2937"/>
          <w:sz w:val="17"/>
        </w:rPr>
        <w:t>需要配色时填写配色 BOM</w:t>
      </w:r>
      <w:r>
        <w:br w:type="textWrapping"/>
      </w:r>
      <w:r>
        <w:rPr>
          <w:rFonts w:ascii="Consolas" w:hAnsi="Consolas" w:eastAsia="Consolas"/>
          <w:color w:val="1F2937"/>
          <w:sz w:val="17"/>
        </w:rPr>
        <w:t xml:space="preserve">        ↓</w:t>
      </w:r>
      <w:r>
        <w:br w:type="textWrapping"/>
      </w:r>
      <w:r>
        <w:rPr>
          <w:rFonts w:ascii="Consolas" w:hAnsi="Consolas" w:eastAsia="Consolas"/>
          <w:color w:val="1F2937"/>
          <w:sz w:val="17"/>
        </w:rPr>
        <w:t>开始并完成注塑，生成样条库存</w:t>
      </w:r>
      <w:r>
        <w:br w:type="textWrapping"/>
      </w:r>
      <w:r>
        <w:rPr>
          <w:rFonts w:ascii="Consolas" w:hAnsi="Consolas" w:eastAsia="Consolas"/>
          <w:color w:val="1F2937"/>
          <w:sz w:val="17"/>
        </w:rPr>
        <w:t xml:space="preserve">        ↓</w:t>
      </w:r>
      <w:r>
        <w:br w:type="textWrapping"/>
      </w:r>
      <w:r>
        <w:rPr>
          <w:rFonts w:ascii="Consolas" w:hAnsi="Consolas" w:eastAsia="Consolas"/>
          <w:color w:val="1F2937"/>
          <w:sz w:val="17"/>
        </w:rPr>
        <w:t>填写材料测试结果并回写配方</w:t>
      </w:r>
      <w:r>
        <w:br w:type="textWrapping"/>
      </w:r>
      <w:r>
        <w:rPr>
          <w:rFonts w:ascii="Consolas" w:hAnsi="Consolas" w:eastAsia="Consolas"/>
          <w:color w:val="1F2937"/>
          <w:sz w:val="17"/>
        </w:rPr>
        <w:t xml:space="preserve">        ↓</w:t>
      </w:r>
      <w:r>
        <w:br w:type="textWrapping"/>
      </w:r>
      <w:r>
        <w:rPr>
          <w:rFonts w:ascii="Consolas" w:hAnsi="Consolas" w:eastAsia="Consolas"/>
          <w:color w:val="1F2937"/>
          <w:sz w:val="17"/>
        </w:rPr>
        <w:t>项目节点提交审批并推进下一阶段</w:t>
      </w:r>
    </w:p>
    <w:p>
      <w:pPr>
        <w:pStyle w:val="4"/>
        <w:keepNext/>
        <w:keepLines/>
      </w:pPr>
      <w:bookmarkStart w:id="26" w:name="_Toc927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6.2 客户竞品流程</w:t>
      </w:r>
      <w:bookmarkEnd w:id="26"/>
    </w:p>
    <w:p>
      <w:pPr>
        <w:shd w:val="clear" w:fill="F3F4F6"/>
        <w:spacing w:before="60" w:after="160" w:line="276" w:lineRule="auto"/>
        <w:ind w:left="198" w:right="142"/>
      </w:pPr>
      <w:r>
        <w:rPr>
          <w:rFonts w:ascii="Consolas" w:hAnsi="Consolas" w:eastAsia="Consolas"/>
          <w:color w:val="1F2937"/>
          <w:sz w:val="17"/>
        </w:rPr>
        <w:t>项目配方过程页创建竞品工单</w:t>
      </w:r>
      <w:r>
        <w:br w:type="textWrapping"/>
      </w:r>
      <w:r>
        <w:rPr>
          <w:rFonts w:ascii="Consolas" w:hAnsi="Consolas" w:eastAsia="Consolas"/>
          <w:color w:val="1F2937"/>
          <w:sz w:val="17"/>
        </w:rPr>
        <w:t xml:space="preserve">        ↓</w:t>
      </w:r>
      <w:r>
        <w:br w:type="textWrapping"/>
      </w:r>
      <w:r>
        <w:rPr>
          <w:rFonts w:ascii="Consolas" w:hAnsi="Consolas" w:eastAsia="Consolas"/>
          <w:color w:val="1F2937"/>
          <w:sz w:val="17"/>
        </w:rPr>
        <w:t>填写竞品公司、品牌、型号和客户信息</w:t>
      </w:r>
      <w:r>
        <w:br w:type="textWrapping"/>
      </w:r>
      <w:r>
        <w:rPr>
          <w:rFonts w:ascii="Consolas" w:hAnsi="Consolas" w:eastAsia="Consolas"/>
          <w:color w:val="1F2937"/>
          <w:sz w:val="17"/>
        </w:rPr>
        <w:t xml:space="preserve">        ↓</w:t>
      </w:r>
      <w:r>
        <w:br w:type="textWrapping"/>
      </w:r>
      <w:r>
        <w:rPr>
          <w:rFonts w:ascii="Consolas" w:hAnsi="Consolas" w:eastAsia="Consolas"/>
          <w:color w:val="1F2937"/>
          <w:sz w:val="17"/>
        </w:rPr>
        <w:t>系统标记“跳过挤出”</w:t>
      </w:r>
      <w:r>
        <w:br w:type="textWrapping"/>
      </w:r>
      <w:r>
        <w:rPr>
          <w:rFonts w:ascii="Consolas" w:hAnsi="Consolas" w:eastAsia="Consolas"/>
          <w:color w:val="1F2937"/>
          <w:sz w:val="17"/>
        </w:rPr>
        <w:t xml:space="preserve">        ↓</w:t>
      </w:r>
      <w:r>
        <w:br w:type="textWrapping"/>
      </w:r>
      <w:r>
        <w:rPr>
          <w:rFonts w:ascii="Consolas" w:hAnsi="Consolas" w:eastAsia="Consolas"/>
          <w:color w:val="1F2937"/>
          <w:sz w:val="17"/>
        </w:rPr>
        <w:t>审批通过后直接进入注塑</w:t>
      </w:r>
      <w:r>
        <w:br w:type="textWrapping"/>
      </w:r>
      <w:r>
        <w:rPr>
          <w:rFonts w:ascii="Consolas" w:hAnsi="Consolas" w:eastAsia="Consolas"/>
          <w:color w:val="1F2937"/>
          <w:sz w:val="17"/>
        </w:rPr>
        <w:t xml:space="preserve">        ↓</w:t>
      </w:r>
      <w:r>
        <w:br w:type="textWrapping"/>
      </w:r>
      <w:r>
        <w:rPr>
          <w:rFonts w:ascii="Consolas" w:hAnsi="Consolas" w:eastAsia="Consolas"/>
          <w:color w:val="1F2937"/>
          <w:sz w:val="17"/>
        </w:rPr>
        <w:t>注塑制样 → 材料测试 → 结果回写竞品配方</w:t>
      </w:r>
    </w:p>
    <w:p>
      <w:pPr>
        <w:pStyle w:val="4"/>
        <w:keepNext/>
        <w:keepLines/>
      </w:pPr>
      <w:bookmarkStart w:id="27" w:name="_Toc870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6.3 操作原则</w:t>
      </w:r>
      <w:bookmarkEnd w:id="27"/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项目阶段是研发过程的主线，配方、工单、表单和附件尽量关联到正确项目节点。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先维护原材料、工艺、模具和测试标准，再创建工单，可减少临时补录。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工单一旦进入挤出或后续阶段，关联实验单会被整体锁定；修改前务必确认工单状态。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测试结果正常应先完整填写再“回写配方”；“手动完成并回写”只用于确认缺项不再补录的特殊情况。</w:t>
      </w:r>
    </w:p>
    <w:p>
      <w:pPr>
        <w:pBdr>
          <w:bottom w:val="single" w:color="CBD5E1" w:sz="8" w:space="1"/>
        </w:pBdr>
        <w:spacing w:after="100"/>
      </w:pPr>
    </w:p>
    <w:p>
      <w:pPr>
        <w:pStyle w:val="3"/>
        <w:keepNext/>
        <w:keepLines/>
        <w:pBdr>
          <w:bottom w:val="single" w:color="2563EB" w:sz="12" w:space="1"/>
        </w:pBdr>
      </w:pPr>
      <w:bookmarkStart w:id="28" w:name="_Toc3682"/>
      <w:r>
        <w:rPr>
          <w:rFonts w:ascii="微软雅黑" w:hAnsi="微软雅黑" w:eastAsia="微软雅黑"/>
          <w:b/>
          <w:i w:val="0"/>
          <w:color w:val="2563EB"/>
          <w:sz w:val="36"/>
          <w:u w:val="none"/>
        </w:rPr>
        <w:t>7. 看板工作台</w:t>
      </w:r>
      <w:bookmarkEnd w:id="28"/>
    </w:p>
    <w:p>
      <w:pPr>
        <w:pStyle w:val="4"/>
        <w:keepNext/>
        <w:keepLines/>
      </w:pPr>
      <w:bookmarkStart w:id="29" w:name="_Toc26473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7.1 首页</w:t>
      </w:r>
      <w:bookmarkEnd w:id="29"/>
    </w:p>
    <w:p>
      <w:pPr>
        <w:spacing w:before="40" w:after="140"/>
      </w:pPr>
      <w:r>
        <w:rPr>
          <w:rFonts w:ascii="微软雅黑" w:hAnsi="微软雅黑" w:eastAsia="微软雅黑"/>
          <w:b/>
          <w:color w:val="1F2937"/>
          <w:sz w:val="21"/>
        </w:rPr>
        <w:t>操作入口：</w:t>
      </w:r>
      <w:r>
        <w:rPr>
          <w:rFonts w:ascii="微软雅黑" w:hAnsi="微软雅黑" w:eastAsia="微软雅黑"/>
          <w:color w:val="B45309"/>
          <w:sz w:val="19"/>
          <w:shd w:val="clear" w:color="auto" w:fill="FFF7ED"/>
        </w:rPr>
        <w:t>登录后默认进入首页；也可点击左侧菜单“首页”或左上角系统名称返回首页。</w:t>
      </w:r>
    </w:p>
    <w:p>
      <w:r>
        <w:rPr>
          <w:rFonts w:ascii="微软雅黑" w:hAnsi="微软雅黑" w:eastAsia="微软雅黑"/>
          <w:color w:val="1F2937"/>
          <w:sz w:val="21"/>
        </w:rPr>
        <w:t>首页提供系统入口和功能概览。点击“进入个人工作台”进入个人业务中心。</w:t>
      </w:r>
    </w:p>
    <w:p>
      <w:pPr>
        <w:pStyle w:val="4"/>
        <w:keepNext/>
        <w:keepLines/>
      </w:pPr>
      <w:bookmarkStart w:id="30" w:name="_Toc25490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7.2 个人工作台</w:t>
      </w:r>
      <w:bookmarkEnd w:id="30"/>
    </w:p>
    <w:p>
      <w:pPr>
        <w:spacing w:before="40" w:after="140"/>
      </w:pPr>
      <w:r>
        <w:rPr>
          <w:rFonts w:ascii="微软雅黑" w:hAnsi="微软雅黑" w:eastAsia="微软雅黑"/>
          <w:b/>
          <w:color w:val="1F2937"/>
          <w:sz w:val="21"/>
        </w:rPr>
        <w:t>操作入口：</w:t>
      </w:r>
      <w:r>
        <w:rPr>
          <w:rFonts w:ascii="微软雅黑" w:hAnsi="微软雅黑" w:eastAsia="微软雅黑"/>
          <w:color w:val="B45309"/>
          <w:sz w:val="19"/>
          <w:shd w:val="clear" w:color="auto" w:fill="FFF7ED"/>
        </w:rPr>
        <w:t>点击左侧菜单“看板工作台” → “个人工作台”；也可在首页点击“进入个人工作台”。</w:t>
      </w:r>
    </w:p>
    <w:p>
      <w:r>
        <w:rPr>
          <w:rFonts w:ascii="微软雅黑" w:hAnsi="微软雅黑" w:eastAsia="微软雅黑"/>
          <w:color w:val="1F2937"/>
          <w:sz w:val="21"/>
        </w:rPr>
        <w:t>个人工作台按权限汇总：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我负责或参与的项目；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我的表单草稿；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我提交的表单；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待办审批任务；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已办任务；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我发起的流程。</w:t>
      </w:r>
    </w:p>
    <w:p>
      <w:r>
        <w:rPr>
          <w:rFonts w:ascii="微软雅黑" w:hAnsi="微软雅黑" w:eastAsia="微软雅黑"/>
          <w:color w:val="1F2937"/>
          <w:sz w:val="21"/>
        </w:rPr>
        <w:t>点击任一记录可进入对应项目、表单或流程详情。建议每天登录后优先查看待办任务和异常状态。</w:t>
      </w:r>
    </w:p>
    <w:p>
      <w:pPr>
        <w:pStyle w:val="4"/>
        <w:keepNext/>
        <w:keepLines/>
      </w:pPr>
      <w:bookmarkStart w:id="31" w:name="_Toc14797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7.3 系统总览</w:t>
      </w:r>
      <w:bookmarkEnd w:id="31"/>
    </w:p>
    <w:p>
      <w:pPr>
        <w:spacing w:before="40" w:after="140"/>
      </w:pPr>
      <w:r>
        <w:rPr>
          <w:rFonts w:ascii="微软雅黑" w:hAnsi="微软雅黑" w:eastAsia="微软雅黑"/>
          <w:b/>
          <w:color w:val="1F2937"/>
          <w:sz w:val="21"/>
        </w:rPr>
        <w:t>操作入口：</w:t>
      </w:r>
      <w:r>
        <w:rPr>
          <w:rFonts w:ascii="微软雅黑" w:hAnsi="微软雅黑" w:eastAsia="微软雅黑"/>
          <w:color w:val="B45309"/>
          <w:sz w:val="19"/>
          <w:shd w:val="clear" w:color="auto" w:fill="FFF7ED"/>
        </w:rPr>
        <w:t>点击左侧菜单“看板工作台” → “系统总览”。</w:t>
      </w:r>
    </w:p>
    <w:p>
      <w:r>
        <w:rPr>
          <w:rFonts w:ascii="微软雅黑" w:hAnsi="微软雅黑" w:eastAsia="微软雅黑"/>
          <w:color w:val="1F2937"/>
          <w:sz w:val="21"/>
        </w:rPr>
        <w:t>查看系统级业务汇总。仅拥有相应查看权限的用户可访问。</w:t>
      </w:r>
    </w:p>
    <w:p>
      <w:pPr>
        <w:pStyle w:val="4"/>
        <w:keepNext/>
        <w:keepLines/>
      </w:pPr>
      <w:bookmarkStart w:id="32" w:name="_Toc30116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7.4 项目看板</w:t>
      </w:r>
      <w:bookmarkEnd w:id="32"/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项目全景看板：点击左侧菜单“看板工作台” → “项目全景看板”。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项目统计看板：点击左侧菜单“看板工作台” → “项目统计看板”。</w:t>
      </w:r>
    </w:p>
    <w:p>
      <w:r>
        <w:rPr>
          <w:rFonts w:ascii="微软雅黑" w:hAnsi="微软雅黑" w:eastAsia="微软雅黑"/>
          <w:color w:val="1F2937"/>
          <w:sz w:val="21"/>
        </w:rPr>
        <w:t>可查看项目数量、阶段分布、进展、负责人负载和风险项目。统计页支持条件筛选和重置。</w:t>
      </w:r>
    </w:p>
    <w:p>
      <w:pPr>
        <w:pStyle w:val="4"/>
        <w:keepNext/>
        <w:keepLines/>
      </w:pPr>
      <w:bookmarkStart w:id="33" w:name="_Toc27255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7.5 客户行为分析</w:t>
      </w:r>
      <w:bookmarkEnd w:id="33"/>
    </w:p>
    <w:p>
      <w:pPr>
        <w:spacing w:before="40" w:after="140"/>
      </w:pPr>
      <w:r>
        <w:rPr>
          <w:rFonts w:ascii="微软雅黑" w:hAnsi="微软雅黑" w:eastAsia="微软雅黑"/>
          <w:b/>
          <w:color w:val="1F2937"/>
          <w:sz w:val="21"/>
        </w:rPr>
        <w:t>操作入口：</w:t>
      </w:r>
      <w:r>
        <w:rPr>
          <w:rFonts w:ascii="微软雅黑" w:hAnsi="微软雅黑" w:eastAsia="微软雅黑"/>
          <w:color w:val="B45309"/>
          <w:sz w:val="19"/>
          <w:shd w:val="clear" w:color="auto" w:fill="FFF7ED"/>
        </w:rPr>
        <w:t>点击左侧菜单“看板工作台” → “客户行为分析”。</w:t>
      </w:r>
    </w:p>
    <w:p>
      <w:r>
        <w:rPr>
          <w:rFonts w:ascii="微软雅黑" w:hAnsi="微软雅黑" w:eastAsia="微软雅黑"/>
          <w:color w:val="1F2937"/>
          <w:sz w:val="21"/>
        </w:rPr>
        <w:t>用于查看电子手册中的产品浏览、资料下载等客户行为。需要客户资料查看权限。</w:t>
      </w:r>
    </w:p>
    <w:p>
      <w:pPr>
        <w:pBdr>
          <w:bottom w:val="single" w:color="CBD5E1" w:sz="8" w:space="1"/>
        </w:pBdr>
        <w:spacing w:after="100"/>
      </w:pPr>
    </w:p>
    <w:p>
      <w:pPr>
        <w:pStyle w:val="3"/>
        <w:keepNext/>
        <w:keepLines/>
        <w:pBdr>
          <w:bottom w:val="single" w:color="2563EB" w:sz="12" w:space="1"/>
        </w:pBdr>
      </w:pPr>
      <w:bookmarkStart w:id="34" w:name="_Toc10024"/>
      <w:r>
        <w:rPr>
          <w:rFonts w:ascii="微软雅黑" w:hAnsi="微软雅黑" w:eastAsia="微软雅黑"/>
          <w:b/>
          <w:i w:val="0"/>
          <w:color w:val="2563EB"/>
          <w:sz w:val="36"/>
          <w:u w:val="none"/>
        </w:rPr>
        <w:t>8. 项目管理中心</w:t>
      </w:r>
      <w:bookmarkEnd w:id="34"/>
    </w:p>
    <w:p>
      <w:pPr>
        <w:pStyle w:val="4"/>
        <w:keepNext/>
        <w:keepLines/>
      </w:pPr>
      <w:bookmarkStart w:id="35" w:name="_Toc8968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8.1 项目列表</w:t>
      </w:r>
      <w:bookmarkEnd w:id="35"/>
    </w:p>
    <w:p>
      <w:pPr>
        <w:spacing w:before="40" w:after="140"/>
      </w:pPr>
      <w:r>
        <w:rPr>
          <w:rFonts w:ascii="微软雅黑" w:hAnsi="微软雅黑" w:eastAsia="微软雅黑"/>
          <w:b/>
          <w:color w:val="1F2937"/>
          <w:sz w:val="21"/>
        </w:rPr>
        <w:t>操作入口：</w:t>
      </w:r>
      <w:r>
        <w:rPr>
          <w:rFonts w:ascii="微软雅黑" w:hAnsi="微软雅黑" w:eastAsia="微软雅黑"/>
          <w:color w:val="B45309"/>
          <w:sz w:val="19"/>
          <w:shd w:val="clear" w:color="auto" w:fill="FFF7ED"/>
        </w:rPr>
        <w:t>点击左侧菜单“项目管理中心” → “项目列表”。</w:t>
      </w:r>
    </w:p>
    <w:p>
      <w:r>
        <w:rPr>
          <w:rFonts w:ascii="微软雅黑" w:hAnsi="微软雅黑" w:eastAsia="微软雅黑"/>
          <w:color w:val="1F2937"/>
          <w:sz w:val="21"/>
        </w:rPr>
        <w:t>项目列表用于按关键词、负责人、阶段、所属组和日期等条件查找项目。点击项目名称进入详情。</w:t>
      </w:r>
    </w:p>
    <w:p>
      <w:pPr>
        <w:pStyle w:val="4"/>
        <w:keepNext/>
        <w:keepLines/>
      </w:pPr>
      <w:bookmarkStart w:id="36" w:name="_Toc20291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8.2 创建项目</w:t>
      </w:r>
      <w:bookmarkEnd w:id="36"/>
    </w:p>
    <w:p>
      <w:pPr>
        <w:spacing w:before="40" w:after="140"/>
      </w:pPr>
      <w:r>
        <w:rPr>
          <w:rFonts w:ascii="微软雅黑" w:hAnsi="微软雅黑" w:eastAsia="微软雅黑"/>
          <w:b/>
          <w:color w:val="1F2937"/>
          <w:sz w:val="21"/>
        </w:rPr>
        <w:t>操作入口：</w:t>
      </w:r>
      <w:r>
        <w:rPr>
          <w:rFonts w:ascii="微软雅黑" w:hAnsi="微软雅黑" w:eastAsia="微软雅黑"/>
          <w:color w:val="B45309"/>
          <w:sz w:val="19"/>
          <w:shd w:val="clear" w:color="auto" w:fill="FFF7ED"/>
        </w:rPr>
        <w:t>点击左侧菜单“项目管理中心” → “项目列表” → 页面右上角“新建项目”。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点击“新建项目”。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填写项目名称；项目编码可留空由系统自动生成。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选择项目负责人、项目等级、成品材料和业务板块。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填写项目描述。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选择默认审批流程（页面提供时）。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保存项目。</w:t>
      </w:r>
    </w:p>
    <w:p>
      <w:r>
        <w:rPr>
          <w:rFonts w:ascii="微软雅黑" w:hAnsi="微软雅黑" w:eastAsia="微软雅黑"/>
          <w:color w:val="1F2937"/>
          <w:sz w:val="21"/>
        </w:rPr>
        <w:t>创建后系统会建立标准项目阶段。建议立即进入项目详情维护协同成员和销售成员。</w:t>
      </w:r>
    </w:p>
    <w:p>
      <w:pPr>
        <w:pStyle w:val="4"/>
        <w:keepNext/>
        <w:keepLines/>
      </w:pPr>
      <w:bookmarkStart w:id="37" w:name="_Toc2544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8.3 项目阶段</w:t>
      </w:r>
      <w:bookmarkEnd w:id="37"/>
    </w:p>
    <w:p>
      <w:r>
        <w:rPr>
          <w:rFonts w:ascii="微软雅黑" w:hAnsi="微软雅黑" w:eastAsia="微软雅黑"/>
          <w:color w:val="1F2937"/>
          <w:sz w:val="21"/>
        </w:rPr>
        <w:t>标准研发阶段如下：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项目立项；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研发阶段；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客户小试；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客户中试；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客户量产下单；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开发周期完成。</w:t>
      </w:r>
    </w:p>
    <w:p>
      <w:r>
        <w:rPr>
          <w:rFonts w:ascii="微软雅黑" w:hAnsi="微软雅黑" w:eastAsia="微软雅黑"/>
          <w:color w:val="1F2937"/>
          <w:sz w:val="21"/>
        </w:rPr>
        <w:t>另有两个不计入标准进度百分比的节点：</w:t>
      </w:r>
    </w:p>
    <w:p>
      <w:pPr>
        <w:pStyle w:val="16"/>
      </w:pPr>
      <w:r>
        <w:rPr>
          <w:rFonts w:ascii="微软雅黑" w:hAnsi="微软雅黑" w:eastAsia="微软雅黑"/>
          <w:b/>
          <w:color w:val="1F2937"/>
          <w:sz w:val="21"/>
        </w:rPr>
        <w:t>量产过程跟踪</w:t>
      </w:r>
      <w:r>
        <w:rPr>
          <w:rFonts w:ascii="微软雅黑" w:hAnsi="微软雅黑" w:eastAsia="微软雅黑"/>
          <w:color w:val="1F2937"/>
          <w:sz w:val="21"/>
        </w:rPr>
        <w:t>：默认存在，用于量产后的持续跟踪，不能直接设为“已完成”。</w:t>
      </w:r>
    </w:p>
    <w:p>
      <w:pPr>
        <w:pStyle w:val="16"/>
      </w:pPr>
      <w:r>
        <w:rPr>
          <w:rFonts w:ascii="微软雅黑" w:hAnsi="微软雅黑" w:eastAsia="微软雅黑"/>
          <w:b/>
          <w:color w:val="1F2937"/>
          <w:sz w:val="21"/>
        </w:rPr>
        <w:t>客户意见</w:t>
      </w:r>
      <w:r>
        <w:rPr>
          <w:rFonts w:ascii="微软雅黑" w:hAnsi="微软雅黑" w:eastAsia="微软雅黑"/>
          <w:color w:val="1F2937"/>
          <w:sz w:val="21"/>
        </w:rPr>
        <w:t>：按需插入，记录客户反馈或终止原因。</w:t>
      </w:r>
    </w:p>
    <w:p>
      <w:r>
        <w:rPr>
          <w:rFonts w:ascii="微软雅黑" w:hAnsi="微软雅黑" w:eastAsia="微软雅黑"/>
          <w:color w:val="1F2937"/>
          <w:sz w:val="21"/>
        </w:rPr>
        <w:t>节点常见状态为未开始、进行中、暂停、待审批、已完成、异常/节点迭代和已终止。</w:t>
      </w:r>
    </w:p>
    <w:p>
      <w:pPr>
        <w:pStyle w:val="4"/>
        <w:keepNext/>
        <w:keepLines/>
      </w:pPr>
      <w:bookmarkStart w:id="38" w:name="_Toc32508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8.4 更新节点</w:t>
      </w:r>
      <w:bookmarkEnd w:id="38"/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进入项目详情。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找到当前活动节点。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点击更新或状态操作按钮。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选择未开始、进行中、暂停或已完成。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填写备注/批注。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提交。</w:t>
      </w:r>
    </w:p>
    <w:p>
      <w:r>
        <w:rPr>
          <w:rFonts w:ascii="微软雅黑" w:hAnsi="微软雅黑" w:eastAsia="微软雅黑"/>
          <w:color w:val="1F2937"/>
          <w:sz w:val="21"/>
        </w:rPr>
        <w:t>如果项目配置了节点审批流程，将节点设为完成可能先进入“待审批”，审批通过后才正式完成并推进下一节点。</w:t>
      </w:r>
    </w:p>
    <w:p>
      <w:pPr>
        <w:pStyle w:val="4"/>
        <w:keepNext/>
        <w:keepLines/>
      </w:pPr>
      <w:bookmarkStart w:id="39" w:name="_Toc18192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8.5 异常与迭代</w:t>
      </w:r>
      <w:bookmarkEnd w:id="39"/>
    </w:p>
    <w:p>
      <w:r>
        <w:rPr>
          <w:rFonts w:ascii="微软雅黑" w:hAnsi="微软雅黑" w:eastAsia="微软雅黑"/>
          <w:color w:val="1F2937"/>
          <w:sz w:val="21"/>
        </w:rPr>
        <w:t>研发、小试、中试和量产跟踪阶段可申报异常。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在当前节点点击“申报异常”。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选择不合格原因。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填写详细原因。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确认提交。</w:t>
      </w:r>
    </w:p>
    <w:p>
      <w:r>
        <w:rPr>
          <w:rFonts w:ascii="微软雅黑" w:hAnsi="微软雅黑" w:eastAsia="微软雅黑"/>
          <w:color w:val="1F2937"/>
          <w:sz w:val="21"/>
        </w:rPr>
        <w:t>系统会将当前节点标记为异常，并按阶段自动插入新的研发、小试或中试迭代节点。请勿在不了解后续节点变化的情况下重复提交。</w:t>
      </w:r>
    </w:p>
    <w:p>
      <w:pPr>
        <w:pStyle w:val="4"/>
        <w:keepNext/>
        <w:keepLines/>
      </w:pPr>
      <w:bookmarkStart w:id="40" w:name="_Toc30173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8.6 客户意见与项目终止</w:t>
      </w:r>
      <w:bookmarkEnd w:id="40"/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在当前节点点击客户反馈操作。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选择客户意见类型。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填写反馈内容。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选择继续跟进或终止项目。</w:t>
      </w:r>
    </w:p>
    <w:p>
      <w:r>
        <w:rPr>
          <w:rFonts w:ascii="微软雅黑" w:hAnsi="微软雅黑" w:eastAsia="微软雅黑"/>
          <w:color w:val="1F2937"/>
          <w:sz w:val="21"/>
        </w:rPr>
        <w:t>选择终止后，系统会删除后续尚未开始的节点并记录终止原因。此操作会改变整个项目生命周期，提交前应完成内部确认。</w:t>
      </w:r>
    </w:p>
    <w:p>
      <w:pPr>
        <w:pStyle w:val="4"/>
        <w:keepNext/>
        <w:keepLines/>
      </w:pPr>
      <w:bookmarkStart w:id="41" w:name="_Toc7754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8.7 项目信息编辑审批</w:t>
      </w:r>
      <w:bookmarkEnd w:id="41"/>
    </w:p>
    <w:p>
      <w:r>
        <w:rPr>
          <w:rFonts w:ascii="微软雅黑" w:hAnsi="微软雅黑" w:eastAsia="微软雅黑"/>
          <w:color w:val="1F2937"/>
          <w:sz w:val="21"/>
        </w:rPr>
        <w:t>编辑项目名称、等级、材料、业务板块或描述时：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点击项目详情中的“编辑”。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修改字段。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填写“提交意见”，说明变更原因。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提交审批。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在项目详情的变更记录中跟踪待审批、已通过或已拒绝状态。</w:t>
      </w:r>
    </w:p>
    <w:p>
      <w:r>
        <w:rPr>
          <w:rFonts w:ascii="微软雅黑" w:hAnsi="微软雅黑" w:eastAsia="微软雅黑"/>
          <w:color w:val="1F2937"/>
          <w:sz w:val="21"/>
        </w:rPr>
        <w:t>审批通过前，正式项目信息不会被替换。同一项目已有进行中的信息变更审批时，通常不能再次发起。</w:t>
      </w:r>
    </w:p>
    <w:p>
      <w:pPr>
        <w:pStyle w:val="4"/>
        <w:keepNext/>
        <w:keepLines/>
      </w:pPr>
      <w:bookmarkStart w:id="42" w:name="_Toc26810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8.8 项目成员</w:t>
      </w:r>
      <w:bookmarkEnd w:id="42"/>
    </w:p>
    <w:p>
      <w:r>
        <w:rPr>
          <w:rFonts w:ascii="微软雅黑" w:hAnsi="微软雅黑" w:eastAsia="微软雅黑"/>
          <w:color w:val="1F2937"/>
          <w:sz w:val="21"/>
        </w:rPr>
        <w:t>项目成员分为研发协同成员和销售成员两套独立工作量池。</w:t>
      </w:r>
    </w:p>
    <w:p>
      <w:r>
        <w:rPr>
          <w:rFonts w:ascii="微软雅黑" w:hAnsi="微软雅黑" w:eastAsia="微软雅黑"/>
          <w:color w:val="1F2937"/>
          <w:sz w:val="21"/>
        </w:rPr>
        <w:t>研发协同角色包括项目主导、实验研发、工艺支持、商务跟进和辅助/资料。</w:t>
      </w:r>
    </w:p>
    <w:p>
      <w:r>
        <w:rPr>
          <w:rFonts w:ascii="微软雅黑" w:hAnsi="微软雅黑" w:eastAsia="微软雅黑"/>
          <w:color w:val="1F2937"/>
          <w:sz w:val="21"/>
        </w:rPr>
        <w:t>操作步骤：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进入项目详情。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点击成员管理或销售成员管理。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选择用户、成员角色和工作量占比。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保存。</w:t>
      </w:r>
    </w:p>
    <w:p>
      <w:r>
        <w:rPr>
          <w:rFonts w:ascii="微软雅黑" w:hAnsi="微软雅黑" w:eastAsia="微软雅黑"/>
          <w:color w:val="1F2937"/>
          <w:sz w:val="21"/>
        </w:rPr>
        <w:t>工作量占比用于绩效分摊。调整成员或占比会影响成绩快照，应按实际贡献维护。</w:t>
      </w:r>
    </w:p>
    <w:p>
      <w:pPr>
        <w:pStyle w:val="4"/>
        <w:keepNext/>
        <w:keepLines/>
      </w:pPr>
      <w:bookmarkStart w:id="43" w:name="_Toc22449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8.9 项目配方过程</w:t>
      </w:r>
      <w:bookmarkEnd w:id="43"/>
    </w:p>
    <w:p>
      <w:pPr>
        <w:spacing w:before="40" w:after="140"/>
      </w:pPr>
      <w:r>
        <w:rPr>
          <w:rFonts w:ascii="微软雅黑" w:hAnsi="微软雅黑" w:eastAsia="微软雅黑"/>
          <w:b/>
          <w:color w:val="1F2937"/>
          <w:sz w:val="21"/>
        </w:rPr>
        <w:t>操作入口：</w:t>
      </w:r>
      <w:r>
        <w:rPr>
          <w:rFonts w:ascii="微软雅黑" w:hAnsi="微软雅黑" w:eastAsia="微软雅黑"/>
          <w:color w:val="B45309"/>
          <w:sz w:val="19"/>
          <w:shd w:val="clear" w:color="auto" w:fill="FFF7ED"/>
        </w:rPr>
        <w:t>点击左侧菜单“项目管理中心” → “项目列表” → 点击项目名称 → 在项目详情点击“配方过程”。</w:t>
      </w:r>
    </w:p>
    <w:p>
      <w:r>
        <w:rPr>
          <w:rFonts w:ascii="微软雅黑" w:hAnsi="微软雅黑" w:eastAsia="微软雅黑"/>
          <w:color w:val="1F2937"/>
          <w:sz w:val="21"/>
        </w:rPr>
        <w:t>该页面用于集中查看当前项目各阶段、各轮次的配方、测试结果和生产工单，并可：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新增实验配方；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创建竞品工单；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查看不同版本配方；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查看工单进度；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在配方锁定后通过“均值回写”补录允许的测试数据。</w:t>
      </w:r>
    </w:p>
    <w:p>
      <w:pPr>
        <w:pStyle w:val="4"/>
        <w:keepNext/>
        <w:keepLines/>
      </w:pPr>
      <w:bookmarkStart w:id="44" w:name="_Toc5025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8.10 项目表单与报告</w:t>
      </w:r>
      <w:bookmarkEnd w:id="44"/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项目表单：进入项目详情后，点击“项目表单/表单记录”。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导出项目报告：进入项目详情后，点击“导出报告”。</w:t>
      </w:r>
    </w:p>
    <w:p>
      <w:r>
        <w:rPr>
          <w:rFonts w:ascii="微软雅黑" w:hAnsi="微软雅黑" w:eastAsia="微软雅黑"/>
          <w:color w:val="1F2937"/>
          <w:sz w:val="21"/>
        </w:rPr>
        <w:t>项目表单页按项目级和节点级展示动态表单。只有具备内容管理权限的用户才能新建或上传相关内容。</w:t>
      </w:r>
    </w:p>
    <w:p>
      <w:pPr>
        <w:pStyle w:val="4"/>
        <w:keepNext/>
        <w:keepLines/>
      </w:pPr>
      <w:bookmarkStart w:id="45" w:name="_Toc10820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8.11 项目绩效</w:t>
      </w:r>
      <w:bookmarkEnd w:id="45"/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成员绩效看板：点击左侧菜单“项目管理中心” → “成员绩效看板”。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项目评分规则：点击左侧菜单“项目管理中心” → “项目评分规则”。</w:t>
      </w:r>
    </w:p>
    <w:p>
      <w:r>
        <w:rPr>
          <w:rFonts w:ascii="微软雅黑" w:hAnsi="微软雅黑" w:eastAsia="微软雅黑"/>
          <w:color w:val="1F2937"/>
          <w:sz w:val="21"/>
        </w:rPr>
        <w:t>绩效看板按研发轨和销售轨展示成员成绩。成绩由节点状态、项目等级因子、工作量占比及评分规则共同计算。</w:t>
      </w:r>
    </w:p>
    <w:p>
      <w:r>
        <w:rPr>
          <w:rFonts w:ascii="微软雅黑" w:hAnsi="微软雅黑" w:eastAsia="微软雅黑"/>
          <w:color w:val="1F2937"/>
          <w:sz w:val="21"/>
        </w:rPr>
        <w:t>评分规则、项目等级因子、业务板块、不合格原因和客户意见类型通常由管理员或业务负责人维护，普通用户不要随意修改。</w:t>
      </w:r>
    </w:p>
    <w:p>
      <w:pPr>
        <w:pBdr>
          <w:bottom w:val="single" w:color="CBD5E1" w:sz="8" w:space="1"/>
        </w:pBdr>
        <w:spacing w:after="100"/>
      </w:pPr>
    </w:p>
    <w:p>
      <w:pPr>
        <w:pStyle w:val="3"/>
        <w:keepNext/>
        <w:keepLines/>
        <w:pBdr>
          <w:bottom w:val="single" w:color="2563EB" w:sz="12" w:space="1"/>
        </w:pBdr>
      </w:pPr>
      <w:bookmarkStart w:id="46" w:name="_Toc6197"/>
      <w:r>
        <w:rPr>
          <w:rFonts w:ascii="微软雅黑" w:hAnsi="微软雅黑" w:eastAsia="微软雅黑"/>
          <w:b/>
          <w:i w:val="0"/>
          <w:color w:val="2563EB"/>
          <w:sz w:val="36"/>
          <w:u w:val="none"/>
        </w:rPr>
        <w:t>9. 客户档案中心</w:t>
      </w:r>
      <w:bookmarkEnd w:id="46"/>
    </w:p>
    <w:p>
      <w:pPr>
        <w:pStyle w:val="4"/>
        <w:keepNext/>
        <w:keepLines/>
      </w:pPr>
      <w:bookmarkStart w:id="47" w:name="_Toc17737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9.1 客户资料库</w:t>
      </w:r>
      <w:bookmarkEnd w:id="47"/>
    </w:p>
    <w:p>
      <w:pPr>
        <w:spacing w:before="40" w:after="140"/>
      </w:pPr>
      <w:r>
        <w:rPr>
          <w:rFonts w:ascii="微软雅黑" w:hAnsi="微软雅黑" w:eastAsia="微软雅黑"/>
          <w:b/>
          <w:color w:val="1F2937"/>
          <w:sz w:val="21"/>
        </w:rPr>
        <w:t>操作入口：</w:t>
      </w:r>
      <w:r>
        <w:rPr>
          <w:rFonts w:ascii="微软雅黑" w:hAnsi="微软雅黑" w:eastAsia="微软雅黑"/>
          <w:color w:val="B45309"/>
          <w:sz w:val="19"/>
          <w:shd w:val="clear" w:color="auto" w:fill="FFF7ED"/>
        </w:rPr>
        <w:t>点击左侧菜单“客户档案中心” → “客户资料库”。</w:t>
      </w:r>
    </w:p>
    <w:p>
      <w:r>
        <w:rPr>
          <w:rFonts w:ascii="微软雅黑" w:hAnsi="微软雅黑" w:eastAsia="微软雅黑"/>
          <w:color w:val="1F2937"/>
          <w:sz w:val="21"/>
        </w:rPr>
        <w:t>可按客户名称、关联主机厂、业务员、研发部门等条件查询。点击客户进入详情，查看基本资料、关联项目及业务信息。</w:t>
      </w:r>
    </w:p>
    <w:p>
      <w:r>
        <w:rPr>
          <w:rFonts w:ascii="微软雅黑" w:hAnsi="微软雅黑" w:eastAsia="微软雅黑"/>
          <w:color w:val="1F2937"/>
          <w:sz w:val="21"/>
        </w:rPr>
        <w:t>新增客户：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点击“新增客户”。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填写客户基本信息和联系人信息。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选择关联主机厂、负责人员等资料。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保存。</w:t>
      </w:r>
    </w:p>
    <w:p>
      <w:pPr>
        <w:pStyle w:val="4"/>
        <w:keepNext/>
        <w:keepLines/>
      </w:pPr>
      <w:bookmarkStart w:id="48" w:name="_Toc29703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9.2 客户评分排行</w:t>
      </w:r>
      <w:bookmarkEnd w:id="48"/>
    </w:p>
    <w:p>
      <w:pPr>
        <w:spacing w:before="40" w:after="140"/>
      </w:pPr>
      <w:r>
        <w:rPr>
          <w:rFonts w:ascii="微软雅黑" w:hAnsi="微软雅黑" w:eastAsia="微软雅黑"/>
          <w:b/>
          <w:color w:val="1F2937"/>
          <w:sz w:val="21"/>
        </w:rPr>
        <w:t>操作入口：</w:t>
      </w:r>
      <w:r>
        <w:rPr>
          <w:rFonts w:ascii="微软雅黑" w:hAnsi="微软雅黑" w:eastAsia="微软雅黑"/>
          <w:color w:val="B45309"/>
          <w:sz w:val="19"/>
          <w:shd w:val="clear" w:color="auto" w:fill="FFF7ED"/>
        </w:rPr>
        <w:t>点击左侧菜单“客户档案中心” → “客户评分排行”。</w:t>
      </w:r>
    </w:p>
    <w:p>
      <w:r>
        <w:rPr>
          <w:rFonts w:ascii="微软雅黑" w:hAnsi="微软雅黑" w:eastAsia="微软雅黑"/>
          <w:color w:val="1F2937"/>
          <w:sz w:val="21"/>
        </w:rPr>
        <w:t>查看客户评分和排序，用于客户价值分析。评分来源和权重以系统实际配置为准。</w:t>
      </w:r>
    </w:p>
    <w:p>
      <w:pPr>
        <w:pStyle w:val="4"/>
        <w:keepNext/>
        <w:keepLines/>
      </w:pPr>
      <w:bookmarkStart w:id="49" w:name="_Toc13771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9.3 主机厂（OEM）库</w:t>
      </w:r>
      <w:bookmarkEnd w:id="49"/>
    </w:p>
    <w:p>
      <w:pPr>
        <w:spacing w:before="40" w:after="140"/>
      </w:pPr>
      <w:r>
        <w:rPr>
          <w:rFonts w:ascii="微软雅黑" w:hAnsi="微软雅黑" w:eastAsia="微软雅黑"/>
          <w:b/>
          <w:color w:val="1F2937"/>
          <w:sz w:val="21"/>
        </w:rPr>
        <w:t>操作入口：</w:t>
      </w:r>
      <w:r>
        <w:rPr>
          <w:rFonts w:ascii="微软雅黑" w:hAnsi="微软雅黑" w:eastAsia="微软雅黑"/>
          <w:color w:val="B45309"/>
          <w:sz w:val="19"/>
          <w:shd w:val="clear" w:color="auto" w:fill="FFF7ED"/>
        </w:rPr>
        <w:t>点击左侧菜单“客户档案中心” → “主机厂（OEM）库”。</w:t>
      </w:r>
    </w:p>
    <w:p>
      <w:r>
        <w:rPr>
          <w:rFonts w:ascii="微软雅黑" w:hAnsi="微软雅黑" w:eastAsia="微软雅黑"/>
          <w:color w:val="1F2937"/>
          <w:sz w:val="21"/>
        </w:rPr>
        <w:t>用于维护 OEM 基本信息并查看其关联客户和项目。支持新增、详情查看和编辑。</w:t>
      </w:r>
    </w:p>
    <w:p>
      <w:pPr>
        <w:pStyle w:val="4"/>
        <w:keepNext/>
        <w:keepLines/>
      </w:pPr>
      <w:bookmarkStart w:id="50" w:name="_Toc30387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9.4 项目档案</w:t>
      </w:r>
      <w:bookmarkEnd w:id="50"/>
    </w:p>
    <w:p>
      <w:r>
        <w:rPr>
          <w:rFonts w:ascii="微软雅黑" w:hAnsi="微软雅黑" w:eastAsia="微软雅黑"/>
          <w:color w:val="1F2937"/>
          <w:sz w:val="21"/>
        </w:rPr>
        <w:t>项目档案从项目详情进入，用于维护更完整的客户、车型、预计订单等项目资料。</w:t>
      </w:r>
    </w:p>
    <w:p>
      <w:r>
        <w:rPr>
          <w:rFonts w:ascii="微软雅黑" w:hAnsi="微软雅黑" w:eastAsia="微软雅黑"/>
          <w:color w:val="1F2937"/>
          <w:sz w:val="21"/>
        </w:rPr>
        <w:t>编辑档案时必须填写提交意见。变更需审批通过后才写入正式档案，并保留永久变更记录。</w:t>
      </w:r>
    </w:p>
    <w:p>
      <w:pPr>
        <w:pBdr>
          <w:bottom w:val="single" w:color="CBD5E1" w:sz="8" w:space="1"/>
        </w:pBdr>
        <w:spacing w:after="100"/>
      </w:pPr>
    </w:p>
    <w:p>
      <w:pPr>
        <w:pStyle w:val="3"/>
        <w:keepNext/>
        <w:keepLines/>
        <w:pBdr>
          <w:bottom w:val="single" w:color="2563EB" w:sz="12" w:space="1"/>
        </w:pBdr>
      </w:pPr>
      <w:bookmarkStart w:id="51" w:name="_Toc4301"/>
      <w:r>
        <w:rPr>
          <w:rFonts w:ascii="微软雅黑" w:hAnsi="微软雅黑" w:eastAsia="微软雅黑"/>
          <w:b/>
          <w:i w:val="0"/>
          <w:color w:val="2563EB"/>
          <w:sz w:val="36"/>
          <w:u w:val="none"/>
        </w:rPr>
        <w:t>10. 基础预研中心</w:t>
      </w:r>
      <w:bookmarkEnd w:id="51"/>
    </w:p>
    <w:p>
      <w:pPr>
        <w:spacing w:before="40" w:after="140"/>
      </w:pPr>
      <w:r>
        <w:rPr>
          <w:rFonts w:ascii="微软雅黑" w:hAnsi="微软雅黑" w:eastAsia="微软雅黑"/>
          <w:b/>
          <w:color w:val="1F2937"/>
          <w:sz w:val="21"/>
        </w:rPr>
        <w:t>操作入口：</w:t>
      </w:r>
      <w:r>
        <w:rPr>
          <w:rFonts w:ascii="微软雅黑" w:hAnsi="微软雅黑" w:eastAsia="微软雅黑"/>
          <w:color w:val="B45309"/>
          <w:sz w:val="19"/>
          <w:shd w:val="clear" w:color="auto" w:fill="FFF7ED"/>
        </w:rPr>
        <w:t>点击左侧菜单“基础预研中心” → “预研项目管理”。</w:t>
      </w:r>
    </w:p>
    <w:p>
      <w:r>
        <w:rPr>
          <w:rFonts w:ascii="微软雅黑" w:hAnsi="微软雅黑" w:eastAsia="微软雅黑"/>
          <w:color w:val="1F2937"/>
          <w:sz w:val="21"/>
        </w:rPr>
        <w:t>基础预研项目与商业项目相互独立，适用于材料机理、技术储备或前瞻研究。</w:t>
      </w:r>
    </w:p>
    <w:p>
      <w:pPr>
        <w:pStyle w:val="4"/>
        <w:keepNext/>
        <w:keepLines/>
      </w:pPr>
      <w:bookmarkStart w:id="52" w:name="_Toc7614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10.1 创建预研项目</w:t>
      </w:r>
      <w:bookmarkEnd w:id="52"/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点击“新建预研项目”。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填写项目名称、负责人、所属组和描述等信息。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保存；项目编号可由系统自动生成。</w:t>
      </w:r>
    </w:p>
    <w:p>
      <w:r>
        <w:rPr>
          <w:rFonts w:ascii="微软雅黑" w:hAnsi="微软雅黑" w:eastAsia="微软雅黑"/>
          <w:color w:val="1F2937"/>
          <w:sz w:val="21"/>
        </w:rPr>
        <w:t>系统会创建六个标准阶段：项目立项、文献/市场调研、方案制定、实验验证、结果分析、结项/归档。</w:t>
      </w:r>
    </w:p>
    <w:p>
      <w:pPr>
        <w:pStyle w:val="4"/>
        <w:keepNext/>
        <w:keepLines/>
      </w:pPr>
      <w:bookmarkStart w:id="53" w:name="_Toc20511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10.2 推进预研节点</w:t>
      </w:r>
      <w:bookmarkEnd w:id="53"/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进入预研项目详情。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找到当前活动节点。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更新状态和备注。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实验阶段失败时，可申报失败并自动新增下一轮实验节点。</w:t>
      </w:r>
    </w:p>
    <w:p>
      <w:r>
        <w:rPr>
          <w:rFonts w:ascii="微软雅黑" w:hAnsi="微软雅黑" w:eastAsia="微软雅黑"/>
          <w:color w:val="1F2937"/>
          <w:sz w:val="21"/>
        </w:rPr>
        <w:t>预研项目可关联实验配方，便于把研究成果沉淀到配方库。</w:t>
      </w:r>
    </w:p>
    <w:p>
      <w:pPr>
        <w:pBdr>
          <w:bottom w:val="single" w:color="CBD5E1" w:sz="8" w:space="1"/>
        </w:pBdr>
        <w:spacing w:after="100"/>
      </w:pPr>
    </w:p>
    <w:p>
      <w:pPr>
        <w:pStyle w:val="3"/>
        <w:keepNext/>
        <w:keepLines/>
        <w:pBdr>
          <w:bottom w:val="single" w:color="2563EB" w:sz="12" w:space="1"/>
        </w:pBdr>
      </w:pPr>
      <w:bookmarkStart w:id="54" w:name="_Toc11403"/>
      <w:r>
        <w:rPr>
          <w:rFonts w:ascii="微软雅黑" w:hAnsi="微软雅黑" w:eastAsia="微软雅黑"/>
          <w:b/>
          <w:i w:val="0"/>
          <w:color w:val="2563EB"/>
          <w:sz w:val="36"/>
          <w:u w:val="none"/>
        </w:rPr>
        <w:t>11. 材料成品库</w:t>
      </w:r>
      <w:bookmarkEnd w:id="54"/>
    </w:p>
    <w:p>
      <w:pPr>
        <w:pStyle w:val="4"/>
        <w:keepNext/>
        <w:keepLines/>
      </w:pPr>
      <w:bookmarkStart w:id="55" w:name="_Toc32524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11.1 成品材料列表</w:t>
      </w:r>
      <w:bookmarkEnd w:id="55"/>
    </w:p>
    <w:p>
      <w:pPr>
        <w:spacing w:before="40" w:after="140"/>
      </w:pPr>
      <w:r>
        <w:rPr>
          <w:rFonts w:ascii="微软雅黑" w:hAnsi="微软雅黑" w:eastAsia="微软雅黑"/>
          <w:b/>
          <w:color w:val="1F2937"/>
          <w:sz w:val="21"/>
        </w:rPr>
        <w:t>操作入口：</w:t>
      </w:r>
      <w:r>
        <w:rPr>
          <w:rFonts w:ascii="微软雅黑" w:hAnsi="微软雅黑" w:eastAsia="微软雅黑"/>
          <w:color w:val="B45309"/>
          <w:sz w:val="19"/>
          <w:shd w:val="clear" w:color="auto" w:fill="FFF7ED"/>
        </w:rPr>
        <w:t>点击左侧菜单“材料成品库” → “成品材料列表”。</w:t>
      </w:r>
    </w:p>
    <w:p>
      <w:r>
        <w:rPr>
          <w:rFonts w:ascii="微软雅黑" w:hAnsi="微软雅黑" w:eastAsia="微软雅黑"/>
          <w:color w:val="1F2937"/>
          <w:sz w:val="21"/>
        </w:rPr>
        <w:t>支持按牌号、名称、类型、应用场景、特征和常用性能范围筛选。点击材料牌号进入详情。</w:t>
      </w:r>
    </w:p>
    <w:p>
      <w:r>
        <w:rPr>
          <w:rFonts w:ascii="微软雅黑" w:hAnsi="微软雅黑" w:eastAsia="微软雅黑"/>
          <w:color w:val="1F2937"/>
          <w:sz w:val="21"/>
        </w:rPr>
        <w:t>详情页通常包括：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材料基本信息、分类、阻燃等级、颜色；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SAP 物料号；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应用场景和材料特征；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物性测试数据及允许范围；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典型加工条件；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关联项目和成熟配方；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附件、TDS 及发布状态。</w:t>
      </w:r>
    </w:p>
    <w:p>
      <w:pPr>
        <w:pStyle w:val="4"/>
        <w:keepNext/>
        <w:keepLines/>
      </w:pPr>
      <w:bookmarkStart w:id="56" w:name="_Toc18662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11.2 新增材料</w:t>
      </w:r>
      <w:bookmarkEnd w:id="56"/>
    </w:p>
    <w:p>
      <w:pPr>
        <w:spacing w:before="40" w:after="140"/>
      </w:pPr>
      <w:r>
        <w:rPr>
          <w:rFonts w:ascii="微软雅黑" w:hAnsi="微软雅黑" w:eastAsia="微软雅黑"/>
          <w:b/>
          <w:color w:val="1F2937"/>
          <w:sz w:val="21"/>
        </w:rPr>
        <w:t>操作入口：</w:t>
      </w:r>
      <w:r>
        <w:rPr>
          <w:rFonts w:ascii="微软雅黑" w:hAnsi="微软雅黑" w:eastAsia="微软雅黑"/>
          <w:color w:val="B45309"/>
          <w:sz w:val="19"/>
          <w:shd w:val="clear" w:color="auto" w:fill="FFF7ED"/>
        </w:rPr>
        <w:t>点击左侧菜单“材料成品库” → “成品材料列表” → 页面右上角“新增材料”。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填写牌号、中文/英文名称、制造商、材料类型和描述。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填写 SAP 物料号；该字段会用于样品分拨时自动预填。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选择应用场景和特征属性。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填写颜色名称、潘通色号和 RGB 色值（如适用）。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在性能数据区域新增测试项，填写典型值、最小值、最大值和备注。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填写典型加工条件。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决定是否开启“对外发布”。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保存。</w:t>
      </w:r>
    </w:p>
    <w:p>
      <w:r>
        <w:rPr>
          <w:rFonts w:ascii="微软雅黑" w:hAnsi="微软雅黑" w:eastAsia="微软雅黑"/>
          <w:color w:val="1F2937"/>
          <w:sz w:val="21"/>
        </w:rPr>
        <w:t>性能值输入方式由测试标准的数据类型决定：数值型填数字，文本型填文本，选择型必须从预设选项中选择；数值型最小值不能大于最大值。</w:t>
      </w:r>
    </w:p>
    <w:p>
      <w:pPr>
        <w:pStyle w:val="4"/>
        <w:keepNext/>
        <w:keepLines/>
      </w:pPr>
      <w:bookmarkStart w:id="57" w:name="_Toc32050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11.3 导入已有材料数据</w:t>
      </w:r>
      <w:bookmarkEnd w:id="57"/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新建材料前可通过“导入数据”选择来源材料并预填。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编辑材料时可从另一材料导入并替换相关数据。</w:t>
      </w:r>
    </w:p>
    <w:p>
      <w:r>
        <w:rPr>
          <w:rFonts w:ascii="微软雅黑" w:hAnsi="微软雅黑" w:eastAsia="微软雅黑"/>
          <w:color w:val="1F2937"/>
          <w:sz w:val="21"/>
        </w:rPr>
        <w:t>导入会影响当前表单内容。提交前逐项核对基本信息、物性和加工条件。</w:t>
      </w:r>
    </w:p>
    <w:p>
      <w:pPr>
        <w:pStyle w:val="4"/>
        <w:keepNext/>
        <w:keepLines/>
      </w:pPr>
      <w:bookmarkStart w:id="58" w:name="_Toc26867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11.4 发布与下架</w:t>
      </w:r>
      <w:bookmarkEnd w:id="58"/>
    </w:p>
    <w:p>
      <w:r>
        <w:rPr>
          <w:rFonts w:ascii="微软雅黑" w:hAnsi="微软雅黑" w:eastAsia="微软雅黑"/>
          <w:color w:val="1F2937"/>
          <w:sz w:val="21"/>
        </w:rPr>
        <w:t>列表页支持批量发布或下架。仅“对外发布”的材料会显示在产品电子手册中。</w:t>
      </w:r>
    </w:p>
    <w:p>
      <w:r>
        <w:rPr>
          <w:rFonts w:ascii="微软雅黑" w:hAnsi="微软雅黑" w:eastAsia="微软雅黑"/>
          <w:color w:val="1F2937"/>
          <w:sz w:val="21"/>
        </w:rPr>
        <w:t>发布前检查：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名称、牌号和分类正确；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对外可见的物性数据完整；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TDS/SDS 等资料已上传；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不含内部备注、成本或敏感信息。</w:t>
      </w:r>
    </w:p>
    <w:p>
      <w:pPr>
        <w:pStyle w:val="4"/>
        <w:keepNext/>
        <w:keepLines/>
      </w:pPr>
      <w:bookmarkStart w:id="59" w:name="_Toc4408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11.5 导出 TDS</w:t>
      </w:r>
      <w:bookmarkEnd w:id="59"/>
    </w:p>
    <w:p>
      <w:r>
        <w:rPr>
          <w:rFonts w:ascii="微软雅黑" w:hAnsi="微软雅黑" w:eastAsia="微软雅黑"/>
          <w:color w:val="1F2937"/>
          <w:sz w:val="21"/>
        </w:rPr>
        <w:t>在材料详情点击 TDS 导出。若填写了英文名称，可生成中英文内容；英文名称为空时通常只显示中文。</w:t>
      </w:r>
    </w:p>
    <w:p>
      <w:pPr>
        <w:pStyle w:val="4"/>
        <w:keepNext/>
        <w:keepLines/>
      </w:pPr>
      <w:bookmarkStart w:id="60" w:name="_Toc1408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11.6 基础分类配置</w:t>
      </w:r>
      <w:bookmarkEnd w:id="60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7"/>
        <w:gridCol w:w="3137"/>
        <w:gridCol w:w="31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137" w:type="dxa"/>
            <w:shd w:val="clear" w:color="auto" w:fill="2563E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配置项</w:t>
            </w:r>
          </w:p>
        </w:tc>
        <w:tc>
          <w:tcPr>
            <w:tcW w:w="3137" w:type="dxa"/>
            <w:shd w:val="clear" w:color="auto" w:fill="2563E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入口</w:t>
            </w:r>
          </w:p>
        </w:tc>
        <w:tc>
          <w:tcPr>
            <w:tcW w:w="3137" w:type="dxa"/>
            <w:shd w:val="clear" w:color="auto" w:fill="2563E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用途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材料类型</w:t>
            </w:r>
          </w:p>
        </w:tc>
        <w:tc>
          <w:tcPr>
            <w:tcW w:w="31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左侧菜单“材料成品库” → “材料类型分类”</w:t>
            </w:r>
          </w:p>
        </w:tc>
        <w:tc>
          <w:tcPr>
            <w:tcW w:w="31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材料归类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7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材料特性</w:t>
            </w:r>
          </w:p>
        </w:tc>
        <w:tc>
          <w:tcPr>
            <w:tcW w:w="3137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左侧菜单“材料成品库” → “材料特性分类”</w:t>
            </w:r>
          </w:p>
        </w:tc>
        <w:tc>
          <w:tcPr>
            <w:tcW w:w="3137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材料标签与检索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应用场景</w:t>
            </w:r>
          </w:p>
        </w:tc>
        <w:tc>
          <w:tcPr>
            <w:tcW w:w="31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左侧菜单“材料成品库” → “应用场景分类”</w:t>
            </w:r>
          </w:p>
        </w:tc>
        <w:tc>
          <w:tcPr>
            <w:tcW w:w="31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应用领域与需求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7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测试分类</w:t>
            </w:r>
          </w:p>
        </w:tc>
        <w:tc>
          <w:tcPr>
            <w:tcW w:w="3137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左侧菜单“材料成品库” → “测试分类”</w:t>
            </w:r>
          </w:p>
        </w:tc>
        <w:tc>
          <w:tcPr>
            <w:tcW w:w="3137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物性指标分组及排序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测试标准</w:t>
            </w:r>
          </w:p>
        </w:tc>
        <w:tc>
          <w:tcPr>
            <w:tcW w:w="31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左侧菜单“材料成品库” → “测试标准配置”</w:t>
            </w:r>
          </w:p>
        </w:tc>
        <w:tc>
          <w:tcPr>
            <w:tcW w:w="31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指标名称、标准、条件、单位和数据类型</w:t>
            </w:r>
          </w:p>
        </w:tc>
      </w:tr>
    </w:tbl>
    <w:p>
      <w:pPr>
        <w:spacing w:after="0"/>
      </w:pPr>
    </w:p>
    <w:p>
      <w:r>
        <w:rPr>
          <w:rFonts w:ascii="微软雅黑" w:hAnsi="微软雅黑" w:eastAsia="微软雅黑"/>
          <w:color w:val="1F2937"/>
          <w:sz w:val="21"/>
        </w:rPr>
        <w:t>修改测试标准会影响材料录入、工单测试项和测试结果填写，应由指定人员维护。</w:t>
      </w:r>
    </w:p>
    <w:p>
      <w:pPr>
        <w:pBdr>
          <w:bottom w:val="single" w:color="CBD5E1" w:sz="8" w:space="1"/>
        </w:pBdr>
        <w:spacing w:after="100"/>
      </w:pPr>
    </w:p>
    <w:p>
      <w:pPr>
        <w:pStyle w:val="3"/>
        <w:keepNext/>
        <w:keepLines/>
        <w:pBdr>
          <w:bottom w:val="single" w:color="2563EB" w:sz="12" w:space="1"/>
        </w:pBdr>
      </w:pPr>
      <w:bookmarkStart w:id="61" w:name="_Toc4689"/>
      <w:r>
        <w:rPr>
          <w:rFonts w:ascii="微软雅黑" w:hAnsi="微软雅黑" w:eastAsia="微软雅黑"/>
          <w:b/>
          <w:i w:val="0"/>
          <w:color w:val="2563EB"/>
          <w:sz w:val="36"/>
          <w:u w:val="none"/>
        </w:rPr>
        <w:t>12. 实验配方库</w:t>
      </w:r>
      <w:bookmarkEnd w:id="61"/>
    </w:p>
    <w:p>
      <w:pPr>
        <w:pStyle w:val="4"/>
        <w:keepNext/>
        <w:keepLines/>
      </w:pPr>
      <w:bookmarkStart w:id="62" w:name="_Toc23571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12.1 配方列表</w:t>
      </w:r>
      <w:bookmarkEnd w:id="62"/>
    </w:p>
    <w:p>
      <w:pPr>
        <w:spacing w:before="40" w:after="140"/>
      </w:pPr>
      <w:r>
        <w:rPr>
          <w:rFonts w:ascii="微软雅黑" w:hAnsi="微软雅黑" w:eastAsia="微软雅黑"/>
          <w:b/>
          <w:color w:val="1F2937"/>
          <w:sz w:val="21"/>
        </w:rPr>
        <w:t>操作入口：</w:t>
      </w:r>
      <w:r>
        <w:rPr>
          <w:rFonts w:ascii="微软雅黑" w:hAnsi="微软雅黑" w:eastAsia="微软雅黑"/>
          <w:color w:val="B45309"/>
          <w:sz w:val="19"/>
          <w:shd w:val="clear" w:color="auto" w:fill="FFF7ED"/>
        </w:rPr>
        <w:t>点击左侧菜单“实验配方库” → “实验配方列表”。</w:t>
      </w:r>
    </w:p>
    <w:p>
      <w:r>
        <w:rPr>
          <w:rFonts w:ascii="微软雅黑" w:hAnsi="微软雅黑" w:eastAsia="微软雅黑"/>
          <w:color w:val="1F2937"/>
          <w:sz w:val="21"/>
        </w:rPr>
        <w:t>可按实验单号、配方名称、材料类型、项目等条件查询。列表展示版本、工艺、成本和成熟/竞品标记等信息。</w:t>
      </w:r>
    </w:p>
    <w:p>
      <w:pPr>
        <w:pStyle w:val="4"/>
        <w:keepNext/>
        <w:keepLines/>
      </w:pPr>
      <w:bookmarkStart w:id="63" w:name="_Toc26274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12.2 新增配方</w:t>
      </w:r>
      <w:bookmarkEnd w:id="63"/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从项目当前节点点击“新增配方”，可自动带入项目和阶段信息；或在配方列表点击“新增配方”。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选择从现有配方导入，或选择“从空白开始”。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填写配方基本信息、材料类型、关联项目/节点和工艺方案。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在 BOM 中逐行选择原材料并填写份数。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填写测试结果或其他说明。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按需要创建多个版本。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保存。</w:t>
      </w:r>
    </w:p>
    <w:p>
      <w:r>
        <w:rPr>
          <w:rFonts w:ascii="微软雅黑" w:hAnsi="微软雅黑" w:eastAsia="微软雅黑"/>
          <w:color w:val="1F2937"/>
          <w:sz w:val="21"/>
        </w:rPr>
        <w:t>同一批次的多个版本共享实验单号，以版本号区分。量产意向或量产跟踪阶段可将配方标记为成熟配方。</w:t>
      </w:r>
    </w:p>
    <w:p>
      <w:pPr>
        <w:pStyle w:val="4"/>
        <w:keepNext/>
        <w:keepLines/>
      </w:pPr>
      <w:bookmarkStart w:id="64" w:name="_Toc9763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12.3 BOM 与成本</w:t>
      </w:r>
      <w:bookmarkEnd w:id="64"/>
    </w:p>
    <w:p>
      <w:pPr>
        <w:spacing w:before="40" w:after="140"/>
      </w:pPr>
      <w:r>
        <w:rPr>
          <w:rFonts w:ascii="微软雅黑" w:hAnsi="微软雅黑" w:eastAsia="微软雅黑"/>
          <w:b/>
          <w:i w:val="0"/>
          <w:color w:val="1F2937"/>
          <w:sz w:val="21"/>
          <w:u w:val="none"/>
        </w:rPr>
        <w:t>操作入口：</w:t>
      </w:r>
      <w:r>
        <w:rPr>
          <w:rFonts w:ascii="微软雅黑" w:hAnsi="微软雅黑" w:eastAsia="微软雅黑"/>
          <w:b w:val="0"/>
          <w:i w:val="0"/>
          <w:color w:val="B45309"/>
          <w:sz w:val="19"/>
          <w:u w:val="none"/>
          <w:shd w:val="clear" w:color="auto" w:fill="FFF7ED"/>
        </w:rPr>
        <w:t>点击左侧菜单“实验配方库” → “实验配方列表” → 点击配方名称 → 查看“成本核算”或“配方价格走势”。</w:t>
      </w:r>
    </w:p>
    <w:p>
      <w:r>
        <w:rPr>
          <w:rFonts w:ascii="微软雅黑" w:hAnsi="微软雅黑" w:eastAsia="微软雅黑"/>
          <w:b w:val="0"/>
          <w:i w:val="0"/>
          <w:color w:val="1F2937"/>
          <w:sz w:val="21"/>
          <w:u w:val="none"/>
        </w:rPr>
        <w:t>配方成本的单位统一为元/kg，BOM 中填写的是“份数”，系统按份数占比计算单位成本，不要求总份数必须等于 100。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67"/>
        <w:gridCol w:w="2967"/>
        <w:gridCol w:w="296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01" w:type="dxa"/>
            <w:shd w:val="clear" w:color="auto" w:fill="2563E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  <w:u w:val="none"/>
              </w:rPr>
              <w:t>页面指标</w:t>
            </w:r>
          </w:p>
        </w:tc>
        <w:tc>
          <w:tcPr>
            <w:tcW w:w="2381" w:type="dxa"/>
            <w:shd w:val="clear" w:color="auto" w:fill="2563E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  <w:u w:val="none"/>
              </w:rPr>
              <w:t>价格来源</w:t>
            </w:r>
          </w:p>
        </w:tc>
        <w:tc>
          <w:tcPr>
            <w:tcW w:w="4819" w:type="dxa"/>
            <w:shd w:val="clear" w:color="auto" w:fill="2563E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  <w:u w:val="none"/>
              </w:rPr>
              <w:t>计算说明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8"/>
                <w:u w:val="none"/>
              </w:rPr>
              <w:t>预测成本</w:t>
            </w:r>
          </w:p>
        </w:tc>
        <w:tc>
          <w:tcPr>
            <w:tcW w:w="238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8"/>
                <w:u w:val="none"/>
              </w:rPr>
              <w:t>每种原材料的最新单价</w:t>
            </w:r>
          </w:p>
        </w:tc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B45309"/>
                <w:sz w:val="17"/>
                <w:u w:val="none"/>
              </w:rPr>
              <w:t>Σ（原材料最新单价 × BOM 份数）÷ BOM 总份数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8"/>
                <w:u w:val="none"/>
              </w:rPr>
              <w:t>近 N 月均价成本</w:t>
            </w:r>
          </w:p>
        </w:tc>
        <w:tc>
          <w:tcPr>
            <w:tcW w:w="238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8"/>
                <w:u w:val="none"/>
              </w:rPr>
              <w:t>每种原材料的近 N 月均价</w:t>
            </w:r>
          </w:p>
        </w:tc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B45309"/>
                <w:sz w:val="17"/>
                <w:u w:val="none"/>
              </w:rPr>
              <w:t>Σ（原材料近 N 月均价 × BOM 份数）÷ BOM 总份数；N 由系统配置决定，默认 6 个月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8"/>
                <w:u w:val="none"/>
              </w:rPr>
              <w:t>指定工厂成本</w:t>
            </w:r>
          </w:p>
        </w:tc>
        <w:tc>
          <w:tcPr>
            <w:tcW w:w="238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8"/>
                <w:u w:val="none"/>
              </w:rPr>
              <w:t>指定工厂内的最新价或近 N 月均价</w:t>
            </w:r>
          </w:p>
        </w:tc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B45309"/>
                <w:sz w:val="17"/>
                <w:u w:val="none"/>
              </w:rPr>
              <w:t>只使用该工厂价格；缺价时不使用其他工厂或全部工厂价格补齐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8"/>
                <w:u w:val="none"/>
              </w:rPr>
              <w:t>色粉成本</w:t>
            </w:r>
          </w:p>
        </w:tc>
        <w:tc>
          <w:tcPr>
            <w:tcW w:w="238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8"/>
                <w:u w:val="none"/>
              </w:rPr>
              <w:t>色粉 BOM 原材料的最新单价</w:t>
            </w:r>
          </w:p>
        </w:tc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B45309"/>
                <w:sz w:val="17"/>
                <w:u w:val="none"/>
              </w:rPr>
              <w:t>Σ（色粉最新单价 × 色粉份数）÷ 100，按主配方 100 份折算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8"/>
                <w:u w:val="none"/>
              </w:rPr>
              <w:t>最新总成本</w:t>
            </w:r>
          </w:p>
        </w:tc>
        <w:tc>
          <w:tcPr>
            <w:tcW w:w="238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8"/>
                <w:u w:val="none"/>
              </w:rPr>
              <w:t>主 BOM 预测成本与色粉成本</w:t>
            </w:r>
          </w:p>
        </w:tc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B45309"/>
                <w:sz w:val="17"/>
                <w:u w:val="none"/>
              </w:rPr>
              <w:t>主 BOM 预测成本 + 色粉成本；没有色粉 BOM 时只取主 BOM 预测成本</w:t>
            </w:r>
          </w:p>
        </w:tc>
      </w:tr>
    </w:tbl>
    <w:p>
      <w:pPr>
        <w:keepNext/>
        <w:spacing w:before="60" w:after="120"/>
      </w:pPr>
      <w:r>
        <w:rPr>
          <w:rFonts w:ascii="微软雅黑" w:hAnsi="微软雅黑" w:eastAsia="微软雅黑"/>
          <w:b/>
          <w:i w:val="0"/>
          <w:color w:val="1F2937"/>
          <w:sz w:val="21"/>
          <w:u w:val="none"/>
        </w:rPr>
        <w:t>LOCF 时间线计算示例：</w:t>
      </w:r>
      <w:r>
        <w:rPr>
          <w:rFonts w:ascii="微软雅黑" w:hAnsi="微软雅黑" w:eastAsia="微软雅黑"/>
          <w:b w:val="0"/>
          <w:i w:val="0"/>
          <w:color w:val="1F2937"/>
          <w:sz w:val="21"/>
          <w:u w:val="none"/>
        </w:rPr>
        <w:t>某配方包含原料 A 60 份、原料 B 40 份。以下价格均为元/kg，“—”表示当天在该工厂没有价格记录，不代表价格为 0。“全部工厂日均价”只对当天实际有价的工厂求平均。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6"/>
        <w:gridCol w:w="1436"/>
        <w:gridCol w:w="1436"/>
        <w:gridCol w:w="1436"/>
        <w:gridCol w:w="1436"/>
        <w:gridCol w:w="143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247" w:type="dxa"/>
            <w:shd w:val="clear" w:color="auto" w:fill="2563EB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  <w:u w:val="none"/>
              </w:rPr>
              <w:t>日期</w:t>
            </w:r>
          </w:p>
        </w:tc>
        <w:tc>
          <w:tcPr>
            <w:tcW w:w="1134" w:type="dxa"/>
            <w:shd w:val="clear" w:color="auto" w:fill="2563EB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  <w:u w:val="none"/>
              </w:rPr>
              <w:t>BOM 原材料</w:t>
            </w:r>
          </w:p>
        </w:tc>
        <w:tc>
          <w:tcPr>
            <w:tcW w:w="794" w:type="dxa"/>
            <w:shd w:val="clear" w:color="auto" w:fill="2563EB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  <w:u w:val="none"/>
              </w:rPr>
              <w:t>BOM 份数</w:t>
            </w:r>
          </w:p>
        </w:tc>
        <w:tc>
          <w:tcPr>
            <w:tcW w:w="1587" w:type="dxa"/>
            <w:shd w:val="clear" w:color="auto" w:fill="2563EB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  <w:u w:val="none"/>
              </w:rPr>
              <w:t>上海工厂</w:t>
            </w:r>
          </w:p>
        </w:tc>
        <w:tc>
          <w:tcPr>
            <w:tcW w:w="1587" w:type="dxa"/>
            <w:shd w:val="clear" w:color="auto" w:fill="2563EB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  <w:u w:val="none"/>
              </w:rPr>
              <w:t>昆山工厂</w:t>
            </w:r>
          </w:p>
        </w:tc>
        <w:tc>
          <w:tcPr>
            <w:tcW w:w="2268" w:type="dxa"/>
            <w:shd w:val="clear" w:color="auto" w:fill="2563EB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  <w:u w:val="none"/>
              </w:rPr>
              <w:t>全部工厂日均价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  <w:jc w:val="center"/>
        </w:trPr>
        <w:tc>
          <w:tcPr>
            <w:tcW w:w="1247" w:type="dxa"/>
            <w:vMerge w:val="restart"/>
            <w:shd w:val="clear" w:color="auto" w:fill="F8FAFC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2937"/>
                <w:sz w:val="16"/>
                <w:u w:val="none"/>
              </w:rPr>
              <w:t>2026-07-01</w:t>
            </w:r>
          </w:p>
        </w:tc>
        <w:tc>
          <w:tcPr>
            <w:tcW w:w="113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  <w:u w:val="none"/>
              </w:rPr>
              <w:t>原料 A</w:t>
            </w:r>
          </w:p>
        </w:tc>
        <w:tc>
          <w:tcPr>
            <w:tcW w:w="79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i w:val="0"/>
                <w:color w:val="B45309"/>
                <w:sz w:val="15"/>
                <w:u w:val="none"/>
              </w:rPr>
              <w:t>60</w:t>
            </w:r>
          </w:p>
        </w:tc>
        <w:tc>
          <w:tcPr>
            <w:tcW w:w="1587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i w:val="0"/>
                <w:color w:val="B45309"/>
                <w:sz w:val="15"/>
                <w:u w:val="none"/>
              </w:rPr>
              <w:t>20.00</w:t>
            </w:r>
          </w:p>
        </w:tc>
        <w:tc>
          <w:tcPr>
            <w:tcW w:w="1587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i w:val="0"/>
                <w:color w:val="B45309"/>
                <w:sz w:val="15"/>
                <w:u w:val="none"/>
              </w:rPr>
              <w:t>22.00</w:t>
            </w:r>
          </w:p>
        </w:tc>
        <w:tc>
          <w:tcPr>
            <w:tcW w:w="22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i w:val="0"/>
                <w:color w:val="B45309"/>
                <w:sz w:val="15"/>
                <w:u w:val="none"/>
              </w:rPr>
              <w:t>21.00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47" w:type="dxa"/>
            <w:vMerge w:val="continue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/>
        </w:tc>
        <w:tc>
          <w:tcPr>
            <w:tcW w:w="113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  <w:u w:val="none"/>
              </w:rPr>
              <w:t>原料 B</w:t>
            </w:r>
          </w:p>
        </w:tc>
        <w:tc>
          <w:tcPr>
            <w:tcW w:w="79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i w:val="0"/>
                <w:color w:val="B45309"/>
                <w:sz w:val="15"/>
                <w:u w:val="none"/>
              </w:rPr>
              <w:t>40</w:t>
            </w:r>
          </w:p>
        </w:tc>
        <w:tc>
          <w:tcPr>
            <w:tcW w:w="1587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i w:val="0"/>
                <w:color w:val="B45309"/>
                <w:sz w:val="15"/>
                <w:u w:val="none"/>
              </w:rPr>
              <w:t>—</w:t>
            </w:r>
          </w:p>
        </w:tc>
        <w:tc>
          <w:tcPr>
            <w:tcW w:w="1587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i w:val="0"/>
                <w:color w:val="B45309"/>
                <w:sz w:val="15"/>
                <w:u w:val="none"/>
              </w:rPr>
              <w:t>—</w:t>
            </w:r>
          </w:p>
        </w:tc>
        <w:tc>
          <w:tcPr>
            <w:tcW w:w="22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i w:val="0"/>
                <w:color w:val="B45309"/>
                <w:sz w:val="15"/>
                <w:u w:val="none"/>
              </w:rPr>
              <w:t>—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47" w:type="dxa"/>
            <w:vMerge w:val="restart"/>
            <w:shd w:val="clear" w:color="auto" w:fill="F8FAFC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2937"/>
                <w:sz w:val="16"/>
                <w:u w:val="none"/>
              </w:rPr>
              <w:t>2026-08-01</w:t>
            </w:r>
          </w:p>
        </w:tc>
        <w:tc>
          <w:tcPr>
            <w:tcW w:w="113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  <w:u w:val="none"/>
              </w:rPr>
              <w:t>原料 A</w:t>
            </w:r>
          </w:p>
        </w:tc>
        <w:tc>
          <w:tcPr>
            <w:tcW w:w="79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i w:val="0"/>
                <w:color w:val="B45309"/>
                <w:sz w:val="15"/>
                <w:u w:val="none"/>
              </w:rPr>
              <w:t>60</w:t>
            </w:r>
          </w:p>
        </w:tc>
        <w:tc>
          <w:tcPr>
            <w:tcW w:w="1587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i w:val="0"/>
                <w:color w:val="B45309"/>
                <w:sz w:val="15"/>
                <w:u w:val="none"/>
              </w:rPr>
              <w:t>28.00</w:t>
            </w:r>
          </w:p>
        </w:tc>
        <w:tc>
          <w:tcPr>
            <w:tcW w:w="1587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i w:val="0"/>
                <w:color w:val="B45309"/>
                <w:sz w:val="15"/>
                <w:u w:val="none"/>
              </w:rPr>
              <w:t>30.00</w:t>
            </w:r>
          </w:p>
        </w:tc>
        <w:tc>
          <w:tcPr>
            <w:tcW w:w="22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i w:val="0"/>
                <w:color w:val="B45309"/>
                <w:sz w:val="15"/>
                <w:u w:val="none"/>
              </w:rPr>
              <w:t>29.00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  <w:jc w:val="center"/>
        </w:trPr>
        <w:tc>
          <w:tcPr>
            <w:tcW w:w="1247" w:type="dxa"/>
            <w:vMerge w:val="continue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/>
        </w:tc>
        <w:tc>
          <w:tcPr>
            <w:tcW w:w="113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  <w:u w:val="none"/>
              </w:rPr>
              <w:t>原料 B</w:t>
            </w:r>
          </w:p>
        </w:tc>
        <w:tc>
          <w:tcPr>
            <w:tcW w:w="79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i w:val="0"/>
                <w:color w:val="B45309"/>
                <w:sz w:val="15"/>
                <w:u w:val="none"/>
              </w:rPr>
              <w:t>40</w:t>
            </w:r>
          </w:p>
        </w:tc>
        <w:tc>
          <w:tcPr>
            <w:tcW w:w="1587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i w:val="0"/>
                <w:color w:val="B45309"/>
                <w:sz w:val="15"/>
                <w:u w:val="none"/>
              </w:rPr>
              <w:t>5.00</w:t>
            </w:r>
          </w:p>
        </w:tc>
        <w:tc>
          <w:tcPr>
            <w:tcW w:w="1587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i w:val="0"/>
                <w:color w:val="B45309"/>
                <w:sz w:val="15"/>
                <w:u w:val="none"/>
              </w:rPr>
              <w:t>—</w:t>
            </w:r>
          </w:p>
        </w:tc>
        <w:tc>
          <w:tcPr>
            <w:tcW w:w="22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i w:val="0"/>
                <w:color w:val="B45309"/>
                <w:sz w:val="15"/>
                <w:u w:val="none"/>
              </w:rPr>
              <w:t>5.00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47" w:type="dxa"/>
            <w:vMerge w:val="restart"/>
            <w:shd w:val="clear" w:color="auto" w:fill="F8FAFC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2937"/>
                <w:sz w:val="16"/>
                <w:u w:val="none"/>
              </w:rPr>
              <w:t>2026-09-01</w:t>
            </w:r>
          </w:p>
        </w:tc>
        <w:tc>
          <w:tcPr>
            <w:tcW w:w="113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  <w:u w:val="none"/>
              </w:rPr>
              <w:t>原料 A</w:t>
            </w:r>
          </w:p>
        </w:tc>
        <w:tc>
          <w:tcPr>
            <w:tcW w:w="79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i w:val="0"/>
                <w:color w:val="B45309"/>
                <w:sz w:val="15"/>
                <w:u w:val="none"/>
              </w:rPr>
              <w:t>60</w:t>
            </w:r>
          </w:p>
        </w:tc>
        <w:tc>
          <w:tcPr>
            <w:tcW w:w="1587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i w:val="0"/>
                <w:color w:val="B45309"/>
                <w:sz w:val="15"/>
                <w:u w:val="none"/>
              </w:rPr>
              <w:t>30.00</w:t>
            </w:r>
          </w:p>
        </w:tc>
        <w:tc>
          <w:tcPr>
            <w:tcW w:w="1587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i w:val="0"/>
                <w:color w:val="B45309"/>
                <w:sz w:val="15"/>
                <w:u w:val="none"/>
              </w:rPr>
              <w:t>—</w:t>
            </w:r>
          </w:p>
        </w:tc>
        <w:tc>
          <w:tcPr>
            <w:tcW w:w="22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i w:val="0"/>
                <w:color w:val="B45309"/>
                <w:sz w:val="15"/>
                <w:u w:val="none"/>
              </w:rPr>
              <w:t>30.00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47" w:type="dxa"/>
            <w:vMerge w:val="continue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/>
        </w:tc>
        <w:tc>
          <w:tcPr>
            <w:tcW w:w="113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  <w:u w:val="none"/>
              </w:rPr>
              <w:t>原料 B</w:t>
            </w:r>
          </w:p>
        </w:tc>
        <w:tc>
          <w:tcPr>
            <w:tcW w:w="79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i w:val="0"/>
                <w:color w:val="B45309"/>
                <w:sz w:val="15"/>
                <w:u w:val="none"/>
              </w:rPr>
              <w:t>40</w:t>
            </w:r>
          </w:p>
        </w:tc>
        <w:tc>
          <w:tcPr>
            <w:tcW w:w="1587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i w:val="0"/>
                <w:color w:val="B45309"/>
                <w:sz w:val="15"/>
                <w:u w:val="none"/>
              </w:rPr>
              <w:t>—</w:t>
            </w:r>
          </w:p>
        </w:tc>
        <w:tc>
          <w:tcPr>
            <w:tcW w:w="1587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i w:val="0"/>
                <w:color w:val="B45309"/>
                <w:sz w:val="15"/>
                <w:u w:val="none"/>
              </w:rPr>
              <w:t>6.00</w:t>
            </w:r>
          </w:p>
        </w:tc>
        <w:tc>
          <w:tcPr>
            <w:tcW w:w="22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i w:val="0"/>
                <w:color w:val="B45309"/>
                <w:sz w:val="15"/>
                <w:u w:val="none"/>
              </w:rPr>
              <w:t>6.00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47" w:type="dxa"/>
            <w:vMerge w:val="restart"/>
            <w:shd w:val="clear" w:color="auto" w:fill="F8FAFC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2937"/>
                <w:sz w:val="16"/>
                <w:u w:val="none"/>
              </w:rPr>
              <w:t>2026-10-01</w:t>
            </w:r>
          </w:p>
        </w:tc>
        <w:tc>
          <w:tcPr>
            <w:tcW w:w="113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  <w:u w:val="none"/>
              </w:rPr>
              <w:t>原料 A</w:t>
            </w:r>
          </w:p>
        </w:tc>
        <w:tc>
          <w:tcPr>
            <w:tcW w:w="79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i w:val="0"/>
                <w:color w:val="B45309"/>
                <w:sz w:val="15"/>
                <w:u w:val="none"/>
              </w:rPr>
              <w:t>60</w:t>
            </w:r>
          </w:p>
        </w:tc>
        <w:tc>
          <w:tcPr>
            <w:tcW w:w="1587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i w:val="0"/>
                <w:color w:val="B45309"/>
                <w:sz w:val="15"/>
                <w:u w:val="none"/>
              </w:rPr>
              <w:t>—</w:t>
            </w:r>
          </w:p>
        </w:tc>
        <w:tc>
          <w:tcPr>
            <w:tcW w:w="1587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i w:val="0"/>
                <w:color w:val="B45309"/>
                <w:sz w:val="15"/>
                <w:u w:val="none"/>
              </w:rPr>
              <w:t>—</w:t>
            </w:r>
          </w:p>
        </w:tc>
        <w:tc>
          <w:tcPr>
            <w:tcW w:w="22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i w:val="0"/>
                <w:color w:val="B45309"/>
                <w:sz w:val="15"/>
                <w:u w:val="none"/>
              </w:rPr>
              <w:t>—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47" w:type="dxa"/>
            <w:vMerge w:val="continue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/>
        </w:tc>
        <w:tc>
          <w:tcPr>
            <w:tcW w:w="113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  <w:u w:val="none"/>
              </w:rPr>
              <w:t>原料 B</w:t>
            </w:r>
          </w:p>
        </w:tc>
        <w:tc>
          <w:tcPr>
            <w:tcW w:w="79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i w:val="0"/>
                <w:color w:val="B45309"/>
                <w:sz w:val="15"/>
                <w:u w:val="none"/>
              </w:rPr>
              <w:t>40</w:t>
            </w:r>
          </w:p>
        </w:tc>
        <w:tc>
          <w:tcPr>
            <w:tcW w:w="1587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i w:val="0"/>
                <w:color w:val="B45309"/>
                <w:sz w:val="15"/>
                <w:u w:val="none"/>
              </w:rPr>
              <w:t>7.00</w:t>
            </w:r>
          </w:p>
        </w:tc>
        <w:tc>
          <w:tcPr>
            <w:tcW w:w="1587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i w:val="0"/>
                <w:color w:val="B45309"/>
                <w:sz w:val="15"/>
                <w:u w:val="none"/>
              </w:rPr>
              <w:t>—</w:t>
            </w:r>
          </w:p>
        </w:tc>
        <w:tc>
          <w:tcPr>
            <w:tcW w:w="22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i w:val="0"/>
                <w:color w:val="B45309"/>
                <w:sz w:val="15"/>
                <w:u w:val="none"/>
              </w:rPr>
              <w:t>7.00</w:t>
            </w:r>
          </w:p>
        </w:tc>
      </w:tr>
    </w:tbl>
    <w:p>
      <w:pPr>
        <w:keepNext/>
        <w:spacing w:before="120" w:after="120"/>
      </w:pPr>
      <w:r>
        <w:rPr>
          <w:rFonts w:ascii="微软雅黑" w:hAnsi="微软雅黑" w:eastAsia="微软雅黑"/>
          <w:b/>
          <w:i w:val="0"/>
          <w:color w:val="1F2937"/>
          <w:sz w:val="21"/>
          <w:u w:val="none"/>
        </w:rPr>
        <w:t>时间线锚点规则：</w:t>
      </w:r>
      <w:r>
        <w:rPr>
          <w:rFonts w:ascii="微软雅黑" w:hAnsi="微软雅黑" w:eastAsia="微软雅黑"/>
          <w:b w:val="0"/>
          <w:i w:val="0"/>
          <w:color w:val="1F2937"/>
          <w:sz w:val="21"/>
          <w:u w:val="none"/>
        </w:rPr>
        <w:t>在“全部工厂”或某个指定工厂范围内，任一 BOM 原料出现价格的日期构成候选日期。对每个候选日期，系统为每种原料选择“小于或等于该日期的最近一次价格”（LOCF，Last Observation Carried Forward）。若某个份数不为 0 的原料在该日期之前从未有价，该候选点跳过；全部原料都有可用锚点时，才按 BOM 份数计算并输出成本点。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12"/>
        <w:gridCol w:w="1512"/>
        <w:gridCol w:w="1512"/>
        <w:gridCol w:w="1512"/>
        <w:gridCol w:w="1512"/>
        <w:gridCol w:w="151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134" w:type="dxa"/>
            <w:shd w:val="clear" w:color="auto" w:fill="2563EB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  <w:u w:val="none"/>
              </w:rPr>
              <w:t>计算范围</w:t>
            </w:r>
          </w:p>
        </w:tc>
        <w:tc>
          <w:tcPr>
            <w:tcW w:w="1077" w:type="dxa"/>
            <w:shd w:val="clear" w:color="auto" w:fill="2563EB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  <w:u w:val="none"/>
              </w:rPr>
              <w:t>日期</w:t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  <w:u w:val="none"/>
              </w:rPr>
              <w:br w:type="textWrapping"/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  <w:u w:val="none"/>
              </w:rPr>
              <w:t>（含对照）</w:t>
            </w:r>
          </w:p>
        </w:tc>
        <w:tc>
          <w:tcPr>
            <w:tcW w:w="1587" w:type="dxa"/>
            <w:shd w:val="clear" w:color="auto" w:fill="2563EB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  <w:u w:val="none"/>
              </w:rPr>
              <w:t>原料 A 有效价</w:t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  <w:u w:val="none"/>
              </w:rPr>
              <w:br w:type="textWrapping"/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  <w:u w:val="none"/>
              </w:rPr>
              <w:t>（锚点）</w:t>
            </w:r>
          </w:p>
        </w:tc>
        <w:tc>
          <w:tcPr>
            <w:tcW w:w="1587" w:type="dxa"/>
            <w:shd w:val="clear" w:color="auto" w:fill="2563EB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  <w:u w:val="none"/>
              </w:rPr>
              <w:t>原料 B 有效价</w:t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  <w:u w:val="none"/>
              </w:rPr>
              <w:br w:type="textWrapping"/>
            </w: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  <w:u w:val="none"/>
              </w:rPr>
              <w:t>（锚点）</w:t>
            </w:r>
          </w:p>
        </w:tc>
        <w:tc>
          <w:tcPr>
            <w:tcW w:w="2268" w:type="dxa"/>
            <w:shd w:val="clear" w:color="auto" w:fill="2563EB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  <w:u w:val="none"/>
              </w:rPr>
              <w:t>加权计算或判定</w:t>
            </w:r>
          </w:p>
        </w:tc>
        <w:tc>
          <w:tcPr>
            <w:tcW w:w="1417" w:type="dxa"/>
            <w:shd w:val="clear" w:color="auto" w:fill="2563EB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  <w:u w:val="none"/>
              </w:rPr>
              <w:t>时间线结果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vMerge w:val="restart"/>
            <w:shd w:val="clear" w:color="auto" w:fill="EFF6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2937"/>
                <w:sz w:val="16"/>
                <w:u w:val="none"/>
              </w:rPr>
              <w:t>全部工厂</w:t>
            </w:r>
          </w:p>
        </w:tc>
        <w:tc>
          <w:tcPr>
            <w:tcW w:w="1077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  <w:u w:val="none"/>
              </w:rPr>
              <w:t>2026-07-01</w:t>
            </w:r>
          </w:p>
        </w:tc>
        <w:tc>
          <w:tcPr>
            <w:tcW w:w="1587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  <w:u w:val="none"/>
              </w:rPr>
              <w:t>21.00（当日）</w:t>
            </w:r>
          </w:p>
        </w:tc>
        <w:tc>
          <w:tcPr>
            <w:tcW w:w="1587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  <w:u w:val="none"/>
              </w:rPr>
              <w:t>无历史价格</w:t>
            </w:r>
          </w:p>
        </w:tc>
        <w:tc>
          <w:tcPr>
            <w:tcW w:w="22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  <w:u w:val="none"/>
              </w:rPr>
              <w:t>原料 B 缺少前值</w:t>
            </w:r>
          </w:p>
        </w:tc>
        <w:tc>
          <w:tcPr>
            <w:tcW w:w="1417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  <w:u w:val="none"/>
              </w:rPr>
              <w:t>跳过，不输出点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vMerge w:val="continue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/>
        </w:tc>
        <w:tc>
          <w:tcPr>
            <w:tcW w:w="1077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  <w:u w:val="none"/>
              </w:rPr>
              <w:t>2026-08-01</w:t>
            </w:r>
          </w:p>
        </w:tc>
        <w:tc>
          <w:tcPr>
            <w:tcW w:w="1587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  <w:u w:val="none"/>
              </w:rPr>
              <w:t>29.00（当日）</w:t>
            </w:r>
          </w:p>
        </w:tc>
        <w:tc>
          <w:tcPr>
            <w:tcW w:w="1587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  <w:u w:val="none"/>
              </w:rPr>
              <w:t>5.00（当日）</w:t>
            </w:r>
          </w:p>
        </w:tc>
        <w:tc>
          <w:tcPr>
            <w:tcW w:w="22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B45309"/>
                <w:sz w:val="15"/>
                <w:u w:val="none"/>
              </w:rPr>
              <w:t>(29 × 60 + 5 × 40) ÷ 100</w:t>
            </w:r>
          </w:p>
        </w:tc>
        <w:tc>
          <w:tcPr>
            <w:tcW w:w="1417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B45309"/>
                <w:sz w:val="15"/>
                <w:u w:val="none"/>
              </w:rPr>
              <w:t>19.40 元/kg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vMerge w:val="continue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/>
        </w:tc>
        <w:tc>
          <w:tcPr>
            <w:tcW w:w="1077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  <w:u w:val="none"/>
              </w:rPr>
              <w:t>2026-09-01</w:t>
            </w:r>
          </w:p>
        </w:tc>
        <w:tc>
          <w:tcPr>
            <w:tcW w:w="1587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  <w:u w:val="none"/>
              </w:rPr>
              <w:t>30.00（当日）</w:t>
            </w:r>
          </w:p>
        </w:tc>
        <w:tc>
          <w:tcPr>
            <w:tcW w:w="1587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  <w:u w:val="none"/>
              </w:rPr>
              <w:t>6.00（当日）</w:t>
            </w:r>
          </w:p>
        </w:tc>
        <w:tc>
          <w:tcPr>
            <w:tcW w:w="22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B45309"/>
                <w:sz w:val="15"/>
                <w:u w:val="none"/>
              </w:rPr>
              <w:t>(30 × 60 + 6 × 40) ÷ 100</w:t>
            </w:r>
          </w:p>
        </w:tc>
        <w:tc>
          <w:tcPr>
            <w:tcW w:w="1417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B45309"/>
                <w:sz w:val="15"/>
                <w:u w:val="none"/>
              </w:rPr>
              <w:t>20.40 元/kg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vMerge w:val="continue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/>
        </w:tc>
        <w:tc>
          <w:tcPr>
            <w:tcW w:w="1077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  <w:u w:val="none"/>
              </w:rPr>
              <w:t>2026-10-01</w:t>
            </w:r>
          </w:p>
        </w:tc>
        <w:tc>
          <w:tcPr>
            <w:tcW w:w="1587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  <w:u w:val="none"/>
              </w:rPr>
              <w:t>30.00（沿用 09-01）</w:t>
            </w:r>
          </w:p>
        </w:tc>
        <w:tc>
          <w:tcPr>
            <w:tcW w:w="1587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  <w:u w:val="none"/>
              </w:rPr>
              <w:t>7.00（当日）</w:t>
            </w:r>
          </w:p>
        </w:tc>
        <w:tc>
          <w:tcPr>
            <w:tcW w:w="22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B45309"/>
                <w:sz w:val="15"/>
                <w:u w:val="none"/>
              </w:rPr>
              <w:t>(30 × 60 + 7 × 40) ÷ 100</w:t>
            </w:r>
          </w:p>
        </w:tc>
        <w:tc>
          <w:tcPr>
            <w:tcW w:w="1417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B45309"/>
                <w:sz w:val="15"/>
                <w:u w:val="none"/>
              </w:rPr>
              <w:t>20.80 元/kg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vMerge w:val="restart"/>
            <w:shd w:val="clear" w:color="auto" w:fill="F0FDF4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2937"/>
                <w:sz w:val="16"/>
                <w:u w:val="none"/>
              </w:rPr>
              <w:t>上海工厂</w:t>
            </w:r>
          </w:p>
        </w:tc>
        <w:tc>
          <w:tcPr>
            <w:tcW w:w="1077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  <w:u w:val="none"/>
              </w:rPr>
              <w:t>2026-07-01</w:t>
            </w:r>
          </w:p>
        </w:tc>
        <w:tc>
          <w:tcPr>
            <w:tcW w:w="1587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  <w:u w:val="none"/>
              </w:rPr>
              <w:t>20.00（当日）</w:t>
            </w:r>
          </w:p>
        </w:tc>
        <w:tc>
          <w:tcPr>
            <w:tcW w:w="1587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  <w:u w:val="none"/>
              </w:rPr>
              <w:t>无历史价格</w:t>
            </w:r>
          </w:p>
        </w:tc>
        <w:tc>
          <w:tcPr>
            <w:tcW w:w="22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  <w:u w:val="none"/>
              </w:rPr>
              <w:t>原料 B 缺少前值</w:t>
            </w:r>
          </w:p>
        </w:tc>
        <w:tc>
          <w:tcPr>
            <w:tcW w:w="1417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  <w:u w:val="none"/>
              </w:rPr>
              <w:t>跳过，不输出点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  <w:jc w:val="center"/>
        </w:trPr>
        <w:tc>
          <w:tcPr>
            <w:tcW w:w="1134" w:type="dxa"/>
            <w:vMerge w:val="continue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/>
        </w:tc>
        <w:tc>
          <w:tcPr>
            <w:tcW w:w="1077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  <w:u w:val="none"/>
              </w:rPr>
              <w:t>2026-08-01</w:t>
            </w:r>
          </w:p>
        </w:tc>
        <w:tc>
          <w:tcPr>
            <w:tcW w:w="1587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  <w:u w:val="none"/>
              </w:rPr>
              <w:t>28.00（当日）</w:t>
            </w:r>
          </w:p>
        </w:tc>
        <w:tc>
          <w:tcPr>
            <w:tcW w:w="1587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  <w:u w:val="none"/>
              </w:rPr>
              <w:t>5.00（当日）</w:t>
            </w:r>
          </w:p>
        </w:tc>
        <w:tc>
          <w:tcPr>
            <w:tcW w:w="22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B45309"/>
                <w:sz w:val="15"/>
                <w:u w:val="none"/>
              </w:rPr>
              <w:t>(28 × 60 + 5 × 40) ÷ 100</w:t>
            </w:r>
          </w:p>
        </w:tc>
        <w:tc>
          <w:tcPr>
            <w:tcW w:w="1417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B45309"/>
                <w:sz w:val="15"/>
                <w:u w:val="none"/>
              </w:rPr>
              <w:t>18.80 元/kg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vMerge w:val="continue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/>
        </w:tc>
        <w:tc>
          <w:tcPr>
            <w:tcW w:w="1077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  <w:u w:val="none"/>
              </w:rPr>
              <w:t>2026-09-01</w:t>
            </w:r>
          </w:p>
        </w:tc>
        <w:tc>
          <w:tcPr>
            <w:tcW w:w="1587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  <w:u w:val="none"/>
              </w:rPr>
              <w:t>30.00（当日）</w:t>
            </w:r>
          </w:p>
        </w:tc>
        <w:tc>
          <w:tcPr>
            <w:tcW w:w="1587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  <w:u w:val="none"/>
              </w:rPr>
              <w:t>5.00（沿用 08-01）</w:t>
            </w:r>
          </w:p>
        </w:tc>
        <w:tc>
          <w:tcPr>
            <w:tcW w:w="22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B45309"/>
                <w:sz w:val="15"/>
                <w:u w:val="none"/>
              </w:rPr>
              <w:t>(30 × 60 + 5 × 40) ÷ 100</w:t>
            </w:r>
          </w:p>
        </w:tc>
        <w:tc>
          <w:tcPr>
            <w:tcW w:w="1417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B45309"/>
                <w:sz w:val="15"/>
                <w:u w:val="none"/>
              </w:rPr>
              <w:t>20.00 元/kg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  <w:jc w:val="center"/>
        </w:trPr>
        <w:tc>
          <w:tcPr>
            <w:tcW w:w="1134" w:type="dxa"/>
            <w:vMerge w:val="continue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/>
        </w:tc>
        <w:tc>
          <w:tcPr>
            <w:tcW w:w="1077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  <w:u w:val="none"/>
              </w:rPr>
              <w:t>2026-10-01</w:t>
            </w:r>
          </w:p>
        </w:tc>
        <w:tc>
          <w:tcPr>
            <w:tcW w:w="1587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  <w:u w:val="none"/>
              </w:rPr>
              <w:t>30.00（沿用 09-01）</w:t>
            </w:r>
          </w:p>
        </w:tc>
        <w:tc>
          <w:tcPr>
            <w:tcW w:w="1587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  <w:u w:val="none"/>
              </w:rPr>
              <w:t>7.00（当日）</w:t>
            </w:r>
          </w:p>
        </w:tc>
        <w:tc>
          <w:tcPr>
            <w:tcW w:w="22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B45309"/>
                <w:sz w:val="15"/>
                <w:u w:val="none"/>
              </w:rPr>
              <w:t>(30 × 60 + 7 × 40) ÷ 100</w:t>
            </w:r>
          </w:p>
        </w:tc>
        <w:tc>
          <w:tcPr>
            <w:tcW w:w="1417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B45309"/>
                <w:sz w:val="15"/>
                <w:u w:val="none"/>
              </w:rPr>
              <w:t>20.80 元/kg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vMerge w:val="restart"/>
            <w:shd w:val="clear" w:color="auto" w:fill="F5F3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F2937"/>
                <w:sz w:val="16"/>
                <w:u w:val="none"/>
              </w:rPr>
              <w:t>昆山工厂</w:t>
            </w:r>
          </w:p>
        </w:tc>
        <w:tc>
          <w:tcPr>
            <w:tcW w:w="1077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  <w:u w:val="none"/>
              </w:rPr>
              <w:t>2026-07-01</w:t>
            </w:r>
          </w:p>
        </w:tc>
        <w:tc>
          <w:tcPr>
            <w:tcW w:w="1587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  <w:u w:val="none"/>
              </w:rPr>
              <w:t>22.00（当日）</w:t>
            </w:r>
          </w:p>
        </w:tc>
        <w:tc>
          <w:tcPr>
            <w:tcW w:w="1587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  <w:u w:val="none"/>
              </w:rPr>
              <w:t>无历史价格</w:t>
            </w:r>
          </w:p>
        </w:tc>
        <w:tc>
          <w:tcPr>
            <w:tcW w:w="22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  <w:u w:val="none"/>
              </w:rPr>
              <w:t>原料 B 缺少前值</w:t>
            </w:r>
          </w:p>
        </w:tc>
        <w:tc>
          <w:tcPr>
            <w:tcW w:w="1417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  <w:u w:val="none"/>
              </w:rPr>
              <w:t>跳过，不输出点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vMerge w:val="continue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/>
        </w:tc>
        <w:tc>
          <w:tcPr>
            <w:tcW w:w="1077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  <w:u w:val="none"/>
              </w:rPr>
              <w:t>2026-08-01</w:t>
            </w:r>
          </w:p>
        </w:tc>
        <w:tc>
          <w:tcPr>
            <w:tcW w:w="1587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  <w:u w:val="none"/>
              </w:rPr>
              <w:t>30.00（当日）</w:t>
            </w:r>
          </w:p>
        </w:tc>
        <w:tc>
          <w:tcPr>
            <w:tcW w:w="1587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  <w:u w:val="none"/>
              </w:rPr>
              <w:t>无历史价格</w:t>
            </w:r>
          </w:p>
        </w:tc>
        <w:tc>
          <w:tcPr>
            <w:tcW w:w="22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  <w:u w:val="none"/>
              </w:rPr>
              <w:t>原料 B 缺少前值</w:t>
            </w:r>
          </w:p>
        </w:tc>
        <w:tc>
          <w:tcPr>
            <w:tcW w:w="1417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  <w:u w:val="none"/>
              </w:rPr>
              <w:t>跳过，不输出点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vMerge w:val="continue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/>
        </w:tc>
        <w:tc>
          <w:tcPr>
            <w:tcW w:w="1077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  <w:u w:val="none"/>
              </w:rPr>
              <w:t>2026-09-01</w:t>
            </w:r>
          </w:p>
        </w:tc>
        <w:tc>
          <w:tcPr>
            <w:tcW w:w="1587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  <w:u w:val="none"/>
              </w:rPr>
              <w:t>30.00（沿用 08-01）</w:t>
            </w:r>
          </w:p>
        </w:tc>
        <w:tc>
          <w:tcPr>
            <w:tcW w:w="1587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  <w:u w:val="none"/>
              </w:rPr>
              <w:t>6.00（当日）</w:t>
            </w:r>
          </w:p>
        </w:tc>
        <w:tc>
          <w:tcPr>
            <w:tcW w:w="22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B45309"/>
                <w:sz w:val="15"/>
                <w:u w:val="none"/>
              </w:rPr>
              <w:t>(30 × 60 + 6 × 40) ÷ 100</w:t>
            </w:r>
          </w:p>
        </w:tc>
        <w:tc>
          <w:tcPr>
            <w:tcW w:w="1417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B45309"/>
                <w:sz w:val="15"/>
                <w:u w:val="none"/>
              </w:rPr>
              <w:t>20.40 元/kg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vMerge w:val="continue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/>
        </w:tc>
        <w:tc>
          <w:tcPr>
            <w:tcW w:w="1077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  <w:u w:val="none"/>
              </w:rPr>
              <w:t>2026-10-01</w:t>
            </w:r>
          </w:p>
        </w:tc>
        <w:tc>
          <w:tcPr>
            <w:tcW w:w="1587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  <w:u w:val="none"/>
              </w:rPr>
              <w:t>当月不评估</w:t>
            </w:r>
          </w:p>
        </w:tc>
        <w:tc>
          <w:tcPr>
            <w:tcW w:w="1587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  <w:u w:val="none"/>
              </w:rPr>
              <w:t>当月不评估</w:t>
            </w:r>
          </w:p>
        </w:tc>
        <w:tc>
          <w:tcPr>
            <w:tcW w:w="22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  <w:u w:val="none"/>
              </w:rPr>
              <w:t>当月昆山无任何 BOM 原料新价格，不构成候选日期</w:t>
            </w:r>
          </w:p>
        </w:tc>
        <w:tc>
          <w:tcPr>
            <w:tcW w:w="1417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  <w:u w:val="none"/>
              </w:rPr>
              <w:t>不生成时间点</w:t>
            </w:r>
          </w:p>
        </w:tc>
      </w:tr>
    </w:tbl>
    <w:p>
      <w:pPr>
        <w:keepNext w:val="0"/>
        <w:spacing w:before="120" w:after="120"/>
      </w:pPr>
      <w:r>
        <w:rPr>
          <w:rFonts w:ascii="微软雅黑" w:hAnsi="微软雅黑" w:eastAsia="微软雅黑"/>
          <w:b/>
          <w:i w:val="0"/>
          <w:color w:val="1F2937"/>
          <w:sz w:val="21"/>
          <w:u w:val="none"/>
        </w:rPr>
        <w:t>结果说明：</w:t>
      </w:r>
      <w:r>
        <w:rPr>
          <w:rFonts w:ascii="微软雅黑" w:hAnsi="微软雅黑" w:eastAsia="微软雅黑"/>
          <w:b w:val="0"/>
          <w:i w:val="0"/>
          <w:color w:val="1F2937"/>
          <w:sz w:val="21"/>
          <w:u w:val="none"/>
        </w:rPr>
        <w:t>LOCF 只向过去寻找最近有效价格，不会使用未来价格补齐早期缺口。昆山工厂在 7 月和 8 月尚无原料 B 的历史价格，因此这两个候选点被跳过；9 月首次出现原料 B 价格后，才能结合沿用的原料 A 价格计算。10 月昆山没有任何 BOM 原料产生新价格，因此系统不会凭空增加一个月度时间点。</w:t>
      </w:r>
    </w:p>
    <w:p>
      <w:pPr>
        <w:keepNext w:val="0"/>
        <w:spacing w:before="0" w:after="160"/>
      </w:pPr>
      <w:r>
        <w:rPr>
          <w:rFonts w:ascii="微软雅黑" w:hAnsi="微软雅黑" w:eastAsia="微软雅黑"/>
          <w:b/>
          <w:i w:val="0"/>
          <w:color w:val="1F2937"/>
          <w:sz w:val="21"/>
          <w:u w:val="none"/>
        </w:rPr>
        <w:t>当前预测成本与均价成本：</w:t>
      </w:r>
      <w:r>
        <w:rPr>
          <w:rFonts w:ascii="微软雅黑" w:hAnsi="微软雅黑" w:eastAsia="微软雅黑"/>
          <w:b w:val="0"/>
          <w:i w:val="0"/>
          <w:color w:val="1F2937"/>
          <w:sz w:val="21"/>
          <w:u w:val="none"/>
        </w:rPr>
        <w:t xml:space="preserve">时间线最后一个可计算点反映当前最新价格组合。上例中全部工厂最新预测成本为 20.80 元/kg，上海工厂为 20.80 元/kg，昆山工厂为 20.40 元/kg。若 A、B 的近 N 月均价分别为 22.50 和 5 元/kg，则均价成本仍单独按 </w:t>
      </w:r>
      <w:r>
        <w:rPr>
          <w:rFonts w:ascii="Consolas" w:hAnsi="Consolas" w:eastAsia="Consolas"/>
          <w:b w:val="0"/>
          <w:i w:val="0"/>
          <w:color w:val="B45309"/>
          <w:sz w:val="19"/>
          <w:u w:val="none"/>
        </w:rPr>
        <w:t>(22.50 × 60 + 5 × 40) ÷ 100 = 15.50 元/kg</w:t>
      </w:r>
      <w:r>
        <w:rPr>
          <w:rFonts w:ascii="微软雅黑" w:hAnsi="微软雅黑" w:eastAsia="微软雅黑"/>
          <w:b w:val="0"/>
          <w:i w:val="0"/>
          <w:color w:val="1F2937"/>
          <w:sz w:val="21"/>
          <w:u w:val="none"/>
        </w:rPr>
        <w:t xml:space="preserve"> 计算，不使用 LOCF 时间线结果替代均价。</w:t>
      </w:r>
    </w:p>
    <w:p>
      <w:r>
        <w:rPr>
          <w:rFonts w:ascii="微软雅黑" w:hAnsi="微软雅黑" w:eastAsia="微软雅黑"/>
          <w:b w:val="0"/>
          <w:i w:val="0"/>
          <w:color w:val="1F2937"/>
          <w:sz w:val="21"/>
          <w:u w:val="none"/>
        </w:rPr>
        <w:t>成本计算采用严格缺价规则：任一份数不为 0 的 BOM 原材料没有对应价格，整个预测成本或均价成本显示为“-”；系统不会把缺价原料当作 0 元计算。份数为 0 的行不参与成本，也不会因缺价阻止计算。BOM 总份数为 0 或没有有效 BOM 行时同样不计算成本。</w:t>
      </w:r>
    </w:p>
    <w:p>
      <w:r>
        <w:rPr>
          <w:rFonts w:ascii="微软雅黑" w:hAnsi="微软雅黑" w:eastAsia="微软雅黑"/>
          <w:b w:val="0"/>
          <w:i w:val="0"/>
          <w:color w:val="1F2937"/>
          <w:sz w:val="21"/>
          <w:u w:val="none"/>
        </w:rPr>
        <w:t>配方价格走势按日期计算：某一天没有新价格时，沿用该日期之前最近一次有效价格；在某个日期之前仍有 BOM 原料从未出现价格时，不生成该日期的成本点。成本从价格记录实时计算，价格或 BOM 变化后重新打开或刷新页面即可看到新结果。</w:t>
      </w:r>
    </w:p>
    <w:p>
      <w:pPr>
        <w:pStyle w:val="4"/>
        <w:keepNext/>
        <w:keepLines/>
      </w:pPr>
      <w:bookmarkStart w:id="65" w:name="_Toc17925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12.4 配方编辑限制</w:t>
      </w:r>
      <w:bookmarkEnd w:id="65"/>
    </w:p>
    <w:p>
      <w:r>
        <w:rPr>
          <w:rFonts w:ascii="微软雅黑" w:hAnsi="微软雅黑" w:eastAsia="微软雅黑"/>
          <w:color w:val="1F2937"/>
          <w:sz w:val="21"/>
        </w:rPr>
        <w:t>关联生产工单后，配方按工单最靠后的状态分级锁定：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7"/>
        <w:gridCol w:w="3137"/>
        <w:gridCol w:w="31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137" w:type="dxa"/>
            <w:shd w:val="clear" w:color="auto" w:fill="2563E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级别</w:t>
            </w:r>
          </w:p>
        </w:tc>
        <w:tc>
          <w:tcPr>
            <w:tcW w:w="3137" w:type="dxa"/>
            <w:shd w:val="clear" w:color="auto" w:fill="2563E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工单状态</w:t>
            </w:r>
          </w:p>
        </w:tc>
        <w:tc>
          <w:tcPr>
            <w:tcW w:w="3137" w:type="dxa"/>
            <w:shd w:val="clear" w:color="auto" w:fill="2563E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允许操作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L1</w:t>
            </w:r>
          </w:p>
        </w:tc>
        <w:tc>
          <w:tcPr>
            <w:tcW w:w="31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草稿等早期状态</w:t>
            </w:r>
          </w:p>
        </w:tc>
        <w:tc>
          <w:tcPr>
            <w:tcW w:w="31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可编辑基础信息/BOM，也可增删版本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7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L2</w:t>
            </w:r>
          </w:p>
        </w:tc>
        <w:tc>
          <w:tcPr>
            <w:tcW w:w="3137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审批中或已发单</w:t>
            </w:r>
          </w:p>
        </w:tc>
        <w:tc>
          <w:tcPr>
            <w:tcW w:w="3137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可编辑基础信息/BOM，但不能增删版本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L3</w:t>
            </w:r>
          </w:p>
        </w:tc>
        <w:tc>
          <w:tcPr>
            <w:tcW w:w="31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已进入挤出或之后</w:t>
            </w:r>
          </w:p>
        </w:tc>
        <w:tc>
          <w:tcPr>
            <w:tcW w:w="31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整个实验单只读</w:t>
            </w:r>
          </w:p>
        </w:tc>
      </w:tr>
    </w:tbl>
    <w:p>
      <w:pPr>
        <w:spacing w:after="0"/>
      </w:pPr>
    </w:p>
    <w:p>
      <w:r>
        <w:rPr>
          <w:rFonts w:ascii="微软雅黑" w:hAnsi="微软雅黑" w:eastAsia="微软雅黑"/>
          <w:color w:val="1F2937"/>
          <w:sz w:val="21"/>
        </w:rPr>
        <w:t>页面出现“版本结构已冻结”或“已整体锁定”提示时，请按提示操作。投产后的测试补录应使用项目配方过程页的“均值回写”，不要尝试绕过锁定。</w:t>
      </w:r>
    </w:p>
    <w:p>
      <w:r>
        <w:rPr>
          <w:rFonts w:ascii="微软雅黑" w:hAnsi="微软雅黑" w:eastAsia="微软雅黑"/>
          <w:color w:val="1F2937"/>
          <w:sz w:val="21"/>
        </w:rPr>
        <w:t>只有草稿或已取消工单可在版本变更时自动解除/调整关联；其他状态的工单会阻止删除被引用版本。</w:t>
      </w:r>
    </w:p>
    <w:p>
      <w:pPr>
        <w:pStyle w:val="4"/>
        <w:keepNext/>
        <w:keepLines/>
      </w:pPr>
      <w:bookmarkStart w:id="66" w:name="_Toc5982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12.5 配方对比</w:t>
      </w:r>
      <w:bookmarkEnd w:id="66"/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在配方列表勾选记录并点击加入对比，或在详情页加入对比清单。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点击顶部配方对比图标。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选择表格对比或图表对比。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对比 BOM、物性、成本等差异。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完成后从清单移除无关配方。</w:t>
      </w:r>
    </w:p>
    <w:p>
      <w:r>
        <w:rPr>
          <w:rFonts w:ascii="微软雅黑" w:hAnsi="微软雅黑" w:eastAsia="微软雅黑"/>
          <w:color w:val="1F2937"/>
          <w:sz w:val="21"/>
        </w:rPr>
        <w:t>配方对比功能仅对具备相应研发准入权限的用户显示。</w:t>
      </w:r>
    </w:p>
    <w:p>
      <w:pPr>
        <w:pStyle w:val="4"/>
        <w:keepNext/>
        <w:keepLines/>
      </w:pPr>
      <w:bookmarkStart w:id="67" w:name="_Toc27589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12.6 客户竞品配方</w:t>
      </w:r>
      <w:bookmarkEnd w:id="67"/>
    </w:p>
    <w:p>
      <w:r>
        <w:rPr>
          <w:rFonts w:ascii="微软雅黑" w:hAnsi="微软雅黑" w:eastAsia="微软雅黑"/>
          <w:color w:val="1F2937"/>
          <w:sz w:val="21"/>
        </w:rPr>
        <w:t>竞品配方由项目配方过程中的竞品工单自动创建，带“客户竞品”标识，并跳过挤出环节。请在竞品工单中完整填写公司、品牌、型号和客户，便于追溯。</w:t>
      </w:r>
    </w:p>
    <w:p>
      <w:pPr>
        <w:pBdr>
          <w:bottom w:val="single" w:color="CBD5E1" w:sz="8" w:space="1"/>
        </w:pBdr>
        <w:spacing w:after="100"/>
      </w:pPr>
    </w:p>
    <w:p>
      <w:pPr>
        <w:pStyle w:val="3"/>
        <w:keepNext/>
        <w:keepLines/>
        <w:pBdr>
          <w:bottom w:val="single" w:color="2563EB" w:sz="12" w:space="1"/>
        </w:pBdr>
      </w:pPr>
      <w:bookmarkStart w:id="68" w:name="_Toc17136"/>
      <w:r>
        <w:rPr>
          <w:rFonts w:ascii="微软雅黑" w:hAnsi="微软雅黑" w:eastAsia="微软雅黑"/>
          <w:b/>
          <w:i w:val="0"/>
          <w:color w:val="2563EB"/>
          <w:sz w:val="36"/>
          <w:u w:val="none"/>
        </w:rPr>
        <w:t>13. 试验排产中心</w:t>
      </w:r>
      <w:bookmarkEnd w:id="68"/>
    </w:p>
    <w:p>
      <w:pPr>
        <w:pStyle w:val="4"/>
        <w:keepNext/>
        <w:keepLines/>
      </w:pPr>
      <w:bookmarkStart w:id="69" w:name="_Toc30524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13.1 排产总览</w:t>
      </w:r>
      <w:bookmarkEnd w:id="69"/>
    </w:p>
    <w:p>
      <w:pPr>
        <w:spacing w:before="40" w:after="140"/>
      </w:pPr>
      <w:r>
        <w:rPr>
          <w:rFonts w:ascii="微软雅黑" w:hAnsi="微软雅黑" w:eastAsia="微软雅黑"/>
          <w:b/>
          <w:color w:val="1F2937"/>
          <w:sz w:val="21"/>
        </w:rPr>
        <w:t>操作入口：</w:t>
      </w:r>
      <w:r>
        <w:rPr>
          <w:rFonts w:ascii="微软雅黑" w:hAnsi="微软雅黑" w:eastAsia="微软雅黑"/>
          <w:color w:val="B45309"/>
          <w:sz w:val="19"/>
          <w:shd w:val="clear" w:color="auto" w:fill="FFF7ED"/>
        </w:rPr>
        <w:t>点击左侧菜单“试验排产中心” → “排产总览”。</w:t>
      </w:r>
    </w:p>
    <w:p>
      <w:r>
        <w:rPr>
          <w:rFonts w:ascii="微软雅黑" w:hAnsi="微软雅黑" w:eastAsia="微软雅黑"/>
          <w:color w:val="1F2937"/>
          <w:sz w:val="21"/>
        </w:rPr>
        <w:t>用于查看试产工单总体数量、状态和待处理事项，并进入工单创建、详情和相关任务。</w:t>
      </w:r>
    </w:p>
    <w:p>
      <w:pPr>
        <w:pStyle w:val="4"/>
        <w:keepNext/>
        <w:keepLines/>
      </w:pPr>
      <w:bookmarkStart w:id="70" w:name="_Toc18465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13.2 创建生产工单</w:t>
      </w:r>
      <w:bookmarkEnd w:id="70"/>
    </w:p>
    <w:p>
      <w:pPr>
        <w:spacing w:before="40" w:after="140"/>
      </w:pPr>
      <w:r>
        <w:rPr>
          <w:rFonts w:ascii="微软雅黑" w:hAnsi="微软雅黑" w:eastAsia="微软雅黑"/>
          <w:b/>
          <w:color w:val="1F2937"/>
          <w:sz w:val="21"/>
        </w:rPr>
        <w:t>操作入口：</w:t>
      </w:r>
      <w:r>
        <w:rPr>
          <w:rFonts w:ascii="微软雅黑" w:hAnsi="微软雅黑" w:eastAsia="微软雅黑"/>
          <w:color w:val="B45309"/>
          <w:sz w:val="19"/>
          <w:shd w:val="clear" w:color="auto" w:fill="FFF7ED"/>
        </w:rPr>
        <w:t>进入项目详情 → 点击“配方过程” → 选择实验单/配方版本后点击“创建工单”；也可在“试验排产中心”的排产总览中点击“新建工单”。</w:t>
      </w:r>
    </w:p>
    <w:p>
      <w:r>
        <w:rPr>
          <w:rFonts w:ascii="微软雅黑" w:hAnsi="微软雅黑" w:eastAsia="微软雅黑"/>
          <w:color w:val="1F2937"/>
          <w:sz w:val="21"/>
        </w:rPr>
        <w:t>主要填写内容：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关联项目和项目节点；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实验单号及配方版本；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每个配方版本的计划产量；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工艺方案、挤出操作员；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包装说明和存放位置；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干燥温度、干燥时间、内膜袋密封；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各版本是否需要配色；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注塑温度、注塑前处理；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模具及各版本计划制样数量；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后续测试项目；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备注。</w:t>
      </w:r>
    </w:p>
    <w:p>
      <w:r>
        <w:rPr>
          <w:rFonts w:ascii="微软雅黑" w:hAnsi="微软雅黑" w:eastAsia="微软雅黑"/>
          <w:color w:val="1F2937"/>
          <w:sz w:val="21"/>
        </w:rPr>
        <w:t>竞品工单会启用“跳过挤出”，并要求竞品公司、品牌、型号和客户等信息。</w:t>
      </w:r>
    </w:p>
    <w:p>
      <w:pPr>
        <w:pStyle w:val="4"/>
        <w:keepNext/>
        <w:keepLines/>
      </w:pPr>
      <w:bookmarkStart w:id="71" w:name="_Toc31366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13.3 工单状态与操作</w:t>
      </w:r>
      <w:bookmarkEnd w:id="71"/>
    </w:p>
    <w:p>
      <w:r>
        <w:rPr>
          <w:rFonts w:ascii="微软雅黑" w:hAnsi="微软雅黑" w:eastAsia="微软雅黑"/>
          <w:color w:val="1F2937"/>
          <w:sz w:val="21"/>
        </w:rPr>
        <w:t>生产工单的正常状态顺序：</w:t>
      </w:r>
    </w:p>
    <w:p>
      <w:pPr>
        <w:shd w:val="clear" w:fill="F3F4F6"/>
        <w:spacing w:before="60" w:after="160" w:line="276" w:lineRule="auto"/>
        <w:ind w:left="198" w:right="142"/>
      </w:pPr>
      <w:r>
        <w:rPr>
          <w:rFonts w:ascii="Consolas" w:hAnsi="Consolas" w:eastAsia="Consolas"/>
          <w:color w:val="1F2937"/>
          <w:sz w:val="17"/>
        </w:rPr>
        <w:t>草稿 → 流程中 → 已发单 → 挤出中 → 注塑中 → 测试中 → 已完成</w:t>
      </w:r>
    </w:p>
    <w:p>
      <w:r>
        <w:rPr>
          <w:rFonts w:ascii="微软雅黑" w:hAnsi="微软雅黑" w:eastAsia="微软雅黑"/>
          <w:color w:val="1F2937"/>
          <w:sz w:val="21"/>
        </w:rPr>
        <w:t>“已排产”“挤出完成”“颗粒已分拨”是排产或子任务的过程里程碑，不是生产工单的独立状态；取消工单显示“已取消”。可执行操作取决于工单和子任务状态：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草稿：编辑、删除、提交审批；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审批通过/已发单：安排挤出排产；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已安排排期且任务待生产：开始挤出；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挤出中：填写运行记录并完成；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挤出任务完成：进行颗粒分拨；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后续任务：进入配色、注塑或测试中心处理。</w:t>
      </w:r>
    </w:p>
    <w:p>
      <w:pPr>
        <w:pStyle w:val="4"/>
        <w:keepNext/>
        <w:keepLines/>
      </w:pPr>
      <w:bookmarkStart w:id="72" w:name="_Toc26824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13.4 提交审批与发单</w:t>
      </w:r>
      <w:bookmarkEnd w:id="72"/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在工单详情确认配方、产量、工艺、模具和测试项。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点击“提交审批/启动流程”。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到“我发起的流程”查看审批进度。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审批通过后工单进入已发单状态。</w:t>
      </w:r>
    </w:p>
    <w:p>
      <w:r>
        <w:rPr>
          <w:rFonts w:ascii="微软雅黑" w:hAnsi="微软雅黑" w:eastAsia="微软雅黑"/>
          <w:color w:val="1F2937"/>
          <w:sz w:val="21"/>
        </w:rPr>
        <w:t>若未配置审批流程或当前业务允许直接发单，页面可能显示直接启动后续生产的操作。</w:t>
      </w:r>
    </w:p>
    <w:p>
      <w:pPr>
        <w:pStyle w:val="4"/>
        <w:keepNext/>
        <w:keepLines/>
      </w:pPr>
      <w:bookmarkStart w:id="73" w:name="_Toc28580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13.5 打印工单</w:t>
      </w:r>
      <w:bookmarkEnd w:id="73"/>
    </w:p>
    <w:p>
      <w:pPr>
        <w:spacing w:before="40" w:after="140"/>
      </w:pPr>
      <w:r>
        <w:rPr>
          <w:rFonts w:ascii="微软雅黑" w:hAnsi="微软雅黑" w:eastAsia="微软雅黑"/>
          <w:b/>
          <w:color w:val="1F2937"/>
          <w:sz w:val="21"/>
        </w:rPr>
        <w:t>操作入口：</w:t>
      </w:r>
      <w:r>
        <w:rPr>
          <w:rFonts w:ascii="微软雅黑" w:hAnsi="微软雅黑" w:eastAsia="微软雅黑"/>
          <w:color w:val="B45309"/>
          <w:sz w:val="19"/>
          <w:shd w:val="clear" w:color="auto" w:fill="FFF7ED"/>
        </w:rPr>
        <w:t>进入“试验排产中心” → 打开对应工单详情 → 点击“打印工单”。</w:t>
      </w:r>
    </w:p>
    <w:p>
      <w:r>
        <w:rPr>
          <w:rFonts w:ascii="微软雅黑" w:hAnsi="微软雅黑" w:eastAsia="微软雅黑"/>
          <w:color w:val="1F2937"/>
          <w:sz w:val="21"/>
        </w:rPr>
        <w:t>打印前使用浏览器打印预览检查纸张、缩放和分页。</w:t>
      </w:r>
    </w:p>
    <w:p>
      <w:pPr>
        <w:pStyle w:val="4"/>
        <w:keepNext/>
        <w:keepLines/>
      </w:pPr>
      <w:bookmarkStart w:id="74" w:name="_Toc92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13.6 排产日历</w:t>
      </w:r>
      <w:bookmarkEnd w:id="74"/>
    </w:p>
    <w:p>
      <w:pPr>
        <w:spacing w:before="40" w:after="140"/>
      </w:pPr>
      <w:r>
        <w:rPr>
          <w:rFonts w:ascii="微软雅黑" w:hAnsi="微软雅黑" w:eastAsia="微软雅黑"/>
          <w:b/>
          <w:color w:val="1F2937"/>
          <w:sz w:val="21"/>
        </w:rPr>
        <w:t>操作入口：</w:t>
      </w:r>
      <w:r>
        <w:rPr>
          <w:rFonts w:ascii="微软雅黑" w:hAnsi="微软雅黑" w:eastAsia="微软雅黑"/>
          <w:color w:val="B45309"/>
          <w:sz w:val="19"/>
          <w:shd w:val="clear" w:color="auto" w:fill="FFF7ED"/>
        </w:rPr>
        <w:t>点击左侧菜单“试验排产中心” → “排产日历”。</w:t>
      </w:r>
    </w:p>
    <w:p>
      <w:r>
        <w:rPr>
          <w:rFonts w:ascii="微软雅黑" w:hAnsi="微软雅黑" w:eastAsia="微软雅黑"/>
          <w:color w:val="1F2937"/>
          <w:sz w:val="21"/>
        </w:rPr>
        <w:t>用于只读查看已安排的挤出任务、时间和操作员。实际排期调整请使用挤出排产工作台。</w:t>
      </w:r>
    </w:p>
    <w:p>
      <w:pPr>
        <w:pStyle w:val="4"/>
        <w:keepNext/>
        <w:keepLines/>
      </w:pPr>
      <w:bookmarkStart w:id="75" w:name="_Toc20410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13.7 成品颗粒库存</w:t>
      </w:r>
      <w:bookmarkEnd w:id="75"/>
    </w:p>
    <w:p>
      <w:pPr>
        <w:spacing w:before="40" w:after="140"/>
      </w:pPr>
      <w:r>
        <w:rPr>
          <w:rFonts w:ascii="微软雅黑" w:hAnsi="微软雅黑" w:eastAsia="微软雅黑"/>
          <w:b/>
          <w:color w:val="1F2937"/>
          <w:sz w:val="21"/>
        </w:rPr>
        <w:t>操作入口：</w:t>
      </w:r>
      <w:r>
        <w:rPr>
          <w:rFonts w:ascii="微软雅黑" w:hAnsi="微软雅黑" w:eastAsia="微软雅黑"/>
          <w:color w:val="B45309"/>
          <w:sz w:val="19"/>
          <w:shd w:val="clear" w:color="auto" w:fill="FFF7ED"/>
        </w:rPr>
        <w:t>点击左侧菜单“试验排产中心” → “成品颗粒库存”。</w:t>
      </w:r>
    </w:p>
    <w:p>
      <w:r>
        <w:rPr>
          <w:rFonts w:ascii="微软雅黑" w:hAnsi="微软雅黑" w:eastAsia="微软雅黑"/>
          <w:color w:val="1F2937"/>
          <w:sz w:val="21"/>
        </w:rPr>
        <w:t>可按实验单号查看样品批次、配方版本、数量、存放位置及库存状态。点击批次进入详情。</w:t>
      </w:r>
    </w:p>
    <w:p>
      <w:r>
        <w:rPr>
          <w:rFonts w:ascii="微软雅黑" w:hAnsi="微软雅黑" w:eastAsia="微软雅黑"/>
          <w:color w:val="1F2937"/>
          <w:sz w:val="21"/>
        </w:rPr>
        <w:t>库存状态包括在实验房、已入 SAP 仓库和已消耗。</w:t>
      </w:r>
    </w:p>
    <w:p>
      <w:pPr>
        <w:pStyle w:val="4"/>
        <w:keepNext/>
        <w:keepLines/>
      </w:pPr>
      <w:bookmarkStart w:id="76" w:name="_Toc18620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13.8 SAP 入库</w:t>
      </w:r>
      <w:bookmarkEnd w:id="76"/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在颗粒样品详情点击 SAP 入库。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核对 SAP 物料号、批次号、入库日期和库位。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提交。</w:t>
      </w:r>
    </w:p>
    <w:p>
      <w:r>
        <w:rPr>
          <w:rFonts w:ascii="微软雅黑" w:hAnsi="微软雅黑" w:eastAsia="微软雅黑"/>
          <w:color w:val="1F2937"/>
          <w:sz w:val="21"/>
        </w:rPr>
        <w:t>SAP 物料号通常从项目关联成品材料自动预填。若为空或错误，应先核对材料主数据。入库属于正式库存操作，提交前确认批次与数量一致。</w:t>
      </w:r>
    </w:p>
    <w:p>
      <w:pPr>
        <w:pBdr>
          <w:bottom w:val="single" w:color="CBD5E1" w:sz="8" w:space="1"/>
        </w:pBdr>
        <w:spacing w:after="100"/>
      </w:pPr>
    </w:p>
    <w:p>
      <w:pPr>
        <w:pStyle w:val="3"/>
        <w:keepNext/>
        <w:keepLines/>
        <w:pBdr>
          <w:bottom w:val="single" w:color="2563EB" w:sz="12" w:space="1"/>
        </w:pBdr>
      </w:pPr>
      <w:bookmarkStart w:id="77" w:name="_Toc9560"/>
      <w:r>
        <w:rPr>
          <w:rFonts w:ascii="微软雅黑" w:hAnsi="微软雅黑" w:eastAsia="微软雅黑"/>
          <w:b/>
          <w:i w:val="0"/>
          <w:color w:val="2563EB"/>
          <w:sz w:val="36"/>
          <w:u w:val="none"/>
        </w:rPr>
        <w:t>14. 挤出排产中心</w:t>
      </w:r>
      <w:bookmarkEnd w:id="77"/>
    </w:p>
    <w:p>
      <w:pPr>
        <w:pStyle w:val="4"/>
        <w:keepNext/>
        <w:keepLines/>
      </w:pPr>
      <w:bookmarkStart w:id="78" w:name="_Toc466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14.1 排产工作台</w:t>
      </w:r>
      <w:bookmarkEnd w:id="78"/>
    </w:p>
    <w:p>
      <w:pPr>
        <w:spacing w:before="40" w:after="140"/>
      </w:pPr>
      <w:r>
        <w:rPr>
          <w:rFonts w:ascii="微软雅黑" w:hAnsi="微软雅黑" w:eastAsia="微软雅黑"/>
          <w:b/>
          <w:color w:val="1F2937"/>
          <w:sz w:val="21"/>
        </w:rPr>
        <w:t>操作入口：</w:t>
      </w:r>
      <w:r>
        <w:rPr>
          <w:rFonts w:ascii="微软雅黑" w:hAnsi="微软雅黑" w:eastAsia="微软雅黑"/>
          <w:color w:val="B45309"/>
          <w:sz w:val="19"/>
          <w:shd w:val="clear" w:color="auto" w:fill="FFF7ED"/>
        </w:rPr>
        <w:t>点击左侧菜单“挤出排产中心” → “排产工作台”。</w:t>
      </w:r>
    </w:p>
    <w:p>
      <w:r>
        <w:rPr>
          <w:rFonts w:ascii="微软雅黑" w:hAnsi="微软雅黑" w:eastAsia="微软雅黑"/>
          <w:color w:val="1F2937"/>
          <w:sz w:val="21"/>
        </w:rPr>
        <w:t>工作台展示待排工单和时间轴/日历。常见操作：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从待排工单区域选择工单。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拖放到目标日期和时间段，或使用排产操作填写开始、结束时间。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选择/确认挤出操作员。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保存排期。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若需调整，移动排期或执行取消排产后重新安排。</w:t>
      </w:r>
    </w:p>
    <w:p>
      <w:r>
        <w:rPr>
          <w:rFonts w:ascii="微软雅黑" w:hAnsi="微软雅黑" w:eastAsia="微软雅黑"/>
          <w:color w:val="1F2937"/>
          <w:sz w:val="21"/>
        </w:rPr>
        <w:t>排产前确认机台、工艺方案和物料准备情况，避免同一人员或设备时间冲突。</w:t>
      </w:r>
    </w:p>
    <w:p>
      <w:pPr>
        <w:pStyle w:val="4"/>
        <w:keepNext/>
        <w:keepLines/>
      </w:pPr>
      <w:bookmarkStart w:id="79" w:name="_Toc31209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14.2 挤出任务</w:t>
      </w:r>
      <w:bookmarkEnd w:id="79"/>
    </w:p>
    <w:p>
      <w:pPr>
        <w:spacing w:before="40" w:after="140"/>
      </w:pPr>
      <w:r>
        <w:rPr>
          <w:rFonts w:ascii="微软雅黑" w:hAnsi="微软雅黑" w:eastAsia="微软雅黑"/>
          <w:b/>
          <w:color w:val="1F2937"/>
          <w:sz w:val="21"/>
        </w:rPr>
        <w:t>操作入口：</w:t>
      </w:r>
      <w:r>
        <w:rPr>
          <w:rFonts w:ascii="微软雅黑" w:hAnsi="微软雅黑" w:eastAsia="微软雅黑"/>
          <w:color w:val="B45309"/>
          <w:sz w:val="19"/>
          <w:shd w:val="clear" w:color="auto" w:fill="FFF7ED"/>
        </w:rPr>
        <w:t>点击左侧菜单“挤出排产中心” → “挤出任务”。</w:t>
      </w:r>
    </w:p>
    <w:p>
      <w:r>
        <w:rPr>
          <w:rFonts w:ascii="微软雅黑" w:hAnsi="微软雅黑" w:eastAsia="微软雅黑"/>
          <w:color w:val="1F2937"/>
          <w:sz w:val="21"/>
        </w:rPr>
        <w:t>任务状态包括待生产、挤出中和已完成。</w:t>
      </w:r>
    </w:p>
    <w:p>
      <w:pPr>
        <w:pStyle w:val="4"/>
        <w:keepNext/>
        <w:keepLines/>
      </w:pPr>
      <w:bookmarkStart w:id="80" w:name="_Toc31684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14.3 开始挤出</w:t>
      </w:r>
      <w:bookmarkEnd w:id="80"/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进入挤出任务详情。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核对工单、实验单、配方、计划产量和工艺方案。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点击“开始生产/开始挤出”。</w:t>
      </w:r>
    </w:p>
    <w:p>
      <w:r>
        <w:rPr>
          <w:rFonts w:ascii="微软雅黑" w:hAnsi="微软雅黑" w:eastAsia="微软雅黑"/>
          <w:color w:val="1F2937"/>
          <w:sz w:val="21"/>
        </w:rPr>
        <w:t>开始后会记录操作员和开始时间，并使关联配方进入严格锁定状态。</w:t>
      </w:r>
    </w:p>
    <w:p>
      <w:pPr>
        <w:pStyle w:val="4"/>
        <w:keepNext/>
        <w:keepLines/>
      </w:pPr>
      <w:bookmarkStart w:id="81" w:name="_Toc16318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14.4 填写挤出记录</w:t>
      </w:r>
      <w:bookmarkEnd w:id="81"/>
    </w:p>
    <w:p>
      <w:r>
        <w:rPr>
          <w:rFonts w:ascii="微软雅黑" w:hAnsi="微软雅黑" w:eastAsia="微软雅黑"/>
          <w:color w:val="1F2937"/>
          <w:sz w:val="21"/>
        </w:rPr>
        <w:t>点击“填写记录”，录入实际运行参数，常见字段包括：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各温区温度；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主机转速和扭矩；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喂料速度、侧喂料速度；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熔体压力和实测温度；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真空、过滤网、料条、冷却水及风刀参数；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实际产量和异常备注。</w:t>
      </w:r>
    </w:p>
    <w:p>
      <w:r>
        <w:rPr>
          <w:rFonts w:ascii="微软雅黑" w:hAnsi="微软雅黑" w:eastAsia="微软雅黑"/>
          <w:color w:val="1F2937"/>
          <w:sz w:val="21"/>
        </w:rPr>
        <w:t>应填写实际值，不要直接照抄计划工艺。过程参数将用于质量追溯和工艺复盘。</w:t>
      </w:r>
    </w:p>
    <w:p>
      <w:pPr>
        <w:pStyle w:val="4"/>
        <w:keepNext/>
        <w:keepLines/>
      </w:pPr>
      <w:bookmarkStart w:id="82" w:name="_Toc16220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14.5 完成与颗粒分拨</w:t>
      </w:r>
      <w:bookmarkEnd w:id="82"/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确认实际产量和过程记录完整。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点击完成挤出。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进入“颗粒分拨”。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按配方版本分配成品库存、注塑用料等数量。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填写包装说明和存放位置。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确认各项分配总量与实际产量一致后提交。</w:t>
      </w:r>
    </w:p>
    <w:p>
      <w:r>
        <w:rPr>
          <w:rFonts w:ascii="微软雅黑" w:hAnsi="微软雅黑" w:eastAsia="微软雅黑"/>
          <w:color w:val="1F2937"/>
          <w:sz w:val="21"/>
        </w:rPr>
        <w:t>颗粒分拨完成后会生成或更新样品库存，并触发后续注塑任务。分拨完成标记不应在数量未核对时提前提交。</w:t>
      </w:r>
    </w:p>
    <w:p>
      <w:pPr>
        <w:pBdr>
          <w:bottom w:val="single" w:color="CBD5E1" w:sz="8" w:space="1"/>
        </w:pBdr>
        <w:spacing w:after="100"/>
      </w:pPr>
    </w:p>
    <w:p>
      <w:pPr>
        <w:pStyle w:val="3"/>
        <w:keepNext/>
        <w:keepLines/>
        <w:pBdr>
          <w:bottom w:val="single" w:color="2563EB" w:sz="12" w:space="1"/>
        </w:pBdr>
      </w:pPr>
      <w:bookmarkStart w:id="83" w:name="_Toc9553"/>
      <w:r>
        <w:rPr>
          <w:rFonts w:ascii="微软雅黑" w:hAnsi="微软雅黑" w:eastAsia="微软雅黑"/>
          <w:b/>
          <w:i w:val="0"/>
          <w:color w:val="2563EB"/>
          <w:sz w:val="36"/>
          <w:u w:val="none"/>
        </w:rPr>
        <w:t>15. 材料配色中心</w:t>
      </w:r>
      <w:bookmarkEnd w:id="83"/>
    </w:p>
    <w:p>
      <w:pPr>
        <w:pStyle w:val="4"/>
        <w:keepNext/>
        <w:keepLines/>
      </w:pPr>
      <w:bookmarkStart w:id="84" w:name="_Toc11956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15.1 配色任务</w:t>
      </w:r>
      <w:bookmarkEnd w:id="84"/>
    </w:p>
    <w:p>
      <w:pPr>
        <w:spacing w:before="40" w:after="140"/>
      </w:pPr>
      <w:r>
        <w:rPr>
          <w:rFonts w:ascii="微软雅黑" w:hAnsi="微软雅黑" w:eastAsia="微软雅黑"/>
          <w:b/>
          <w:color w:val="1F2937"/>
          <w:sz w:val="21"/>
        </w:rPr>
        <w:t>操作入口：</w:t>
      </w:r>
      <w:r>
        <w:rPr>
          <w:rFonts w:ascii="微软雅黑" w:hAnsi="微软雅黑" w:eastAsia="微软雅黑"/>
          <w:color w:val="B45309"/>
          <w:sz w:val="19"/>
          <w:shd w:val="clear" w:color="auto" w:fill="FFF7ED"/>
        </w:rPr>
        <w:t>点击左侧菜单“材料配色中心” → “配色任务”。</w:t>
      </w:r>
    </w:p>
    <w:p>
      <w:r>
        <w:rPr>
          <w:rFonts w:ascii="微软雅黑" w:hAnsi="微软雅黑" w:eastAsia="微软雅黑"/>
          <w:color w:val="1F2937"/>
          <w:sz w:val="21"/>
        </w:rPr>
        <w:t>列表展示工单中勾选“需要配色”的配方版本。点击“配色”进入项目配色页，点击详情可查看相关项目和配方。</w:t>
      </w:r>
    </w:p>
    <w:p>
      <w:pPr>
        <w:pStyle w:val="4"/>
        <w:keepNext/>
        <w:keepLines/>
      </w:pPr>
      <w:bookmarkStart w:id="85" w:name="_Toc25519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15.2 项目配色</w:t>
      </w:r>
      <w:bookmarkEnd w:id="85"/>
    </w:p>
    <w:p>
      <w:pPr>
        <w:spacing w:before="40" w:after="140"/>
      </w:pPr>
      <w:r>
        <w:rPr>
          <w:rFonts w:ascii="微软雅黑" w:hAnsi="微软雅黑" w:eastAsia="微软雅黑"/>
          <w:b/>
          <w:color w:val="1F2937"/>
          <w:sz w:val="21"/>
        </w:rPr>
        <w:t>操作入口：</w:t>
      </w:r>
      <w:r>
        <w:rPr>
          <w:rFonts w:ascii="微软雅黑" w:hAnsi="微软雅黑" w:eastAsia="微软雅黑"/>
          <w:color w:val="B45309"/>
          <w:sz w:val="19"/>
          <w:shd w:val="clear" w:color="auto" w:fill="FFF7ED"/>
        </w:rPr>
        <w:t>点击左侧菜单“材料配色中心” → “产品项目” → 点击项目名称；也可从“配色任务”点击对应任务的“配色”。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选择项目阶段、轮次和配方版本。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查看基础配方 BOM。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录入色粉/色母及用量，形成配色 BOM。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可使用历史配方或成熟配方作为参考对比。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点击保存。</w:t>
      </w:r>
    </w:p>
    <w:p>
      <w:r>
        <w:rPr>
          <w:rFonts w:ascii="微软雅黑" w:hAnsi="微软雅黑" w:eastAsia="微软雅黑"/>
          <w:color w:val="1F2937"/>
          <w:sz w:val="21"/>
        </w:rPr>
        <w:t>页面提供全局或当前阶段对比视图。保存时若系统提示覆盖，确认当前版本是否已有配色数据，再决定取消或覆盖。</w:t>
      </w:r>
    </w:p>
    <w:p>
      <w:r>
        <w:rPr>
          <w:rFonts w:ascii="微软雅黑" w:hAnsi="微软雅黑" w:eastAsia="微软雅黑"/>
          <w:color w:val="1F2937"/>
          <w:sz w:val="21"/>
        </w:rPr>
        <w:t>配色数据与具体配方版本关联。切换版本后必须再次核对页面标题和版本号，避免写入错误版本。</w:t>
      </w:r>
    </w:p>
    <w:p>
      <w:pPr>
        <w:pBdr>
          <w:bottom w:val="single" w:color="CBD5E1" w:sz="8" w:space="1"/>
        </w:pBdr>
        <w:spacing w:after="100"/>
      </w:pPr>
    </w:p>
    <w:p>
      <w:pPr>
        <w:pStyle w:val="3"/>
        <w:keepNext/>
        <w:keepLines/>
        <w:pBdr>
          <w:bottom w:val="single" w:color="2563EB" w:sz="12" w:space="1"/>
        </w:pBdr>
      </w:pPr>
      <w:bookmarkStart w:id="86" w:name="_Toc2178"/>
      <w:r>
        <w:rPr>
          <w:rFonts w:ascii="微软雅黑" w:hAnsi="微软雅黑" w:eastAsia="微软雅黑"/>
          <w:b/>
          <w:i w:val="0"/>
          <w:color w:val="2563EB"/>
          <w:sz w:val="36"/>
          <w:u w:val="none"/>
        </w:rPr>
        <w:t>16. 模具注塑中心</w:t>
      </w:r>
      <w:bookmarkEnd w:id="86"/>
    </w:p>
    <w:p>
      <w:pPr>
        <w:pStyle w:val="4"/>
        <w:keepNext/>
        <w:keepLines/>
      </w:pPr>
      <w:bookmarkStart w:id="87" w:name="_Toc26926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16.1 注塑任务</w:t>
      </w:r>
      <w:bookmarkEnd w:id="87"/>
    </w:p>
    <w:p>
      <w:pPr>
        <w:spacing w:before="40" w:after="140"/>
      </w:pPr>
      <w:r>
        <w:rPr>
          <w:rFonts w:ascii="微软雅黑" w:hAnsi="微软雅黑" w:eastAsia="微软雅黑"/>
          <w:b/>
          <w:color w:val="1F2937"/>
          <w:sz w:val="21"/>
        </w:rPr>
        <w:t>操作入口：</w:t>
      </w:r>
      <w:r>
        <w:rPr>
          <w:rFonts w:ascii="微软雅黑" w:hAnsi="微软雅黑" w:eastAsia="微软雅黑"/>
          <w:color w:val="B45309"/>
          <w:sz w:val="19"/>
          <w:shd w:val="clear" w:color="auto" w:fill="FFF7ED"/>
        </w:rPr>
        <w:t>点击左侧菜单“模具注塑中心” → “注塑任务”。</w:t>
      </w:r>
    </w:p>
    <w:p>
      <w:r>
        <w:rPr>
          <w:rFonts w:ascii="微软雅黑" w:hAnsi="微软雅黑" w:eastAsia="微软雅黑"/>
          <w:color w:val="1F2937"/>
          <w:sz w:val="21"/>
        </w:rPr>
        <w:t>注塑任务有两种来源：</w:t>
      </w:r>
    </w:p>
    <w:p>
      <w:pPr>
        <w:pStyle w:val="16"/>
      </w:pPr>
      <w:r>
        <w:rPr>
          <w:rFonts w:ascii="微软雅黑" w:hAnsi="微软雅黑" w:eastAsia="微软雅黑"/>
          <w:b/>
          <w:color w:val="1F2937"/>
          <w:sz w:val="21"/>
        </w:rPr>
        <w:t>排产工单产出</w:t>
      </w:r>
      <w:r>
        <w:rPr>
          <w:rFonts w:ascii="微软雅黑" w:hAnsi="微软雅黑" w:eastAsia="微软雅黑"/>
          <w:color w:val="1F2937"/>
          <w:sz w:val="21"/>
        </w:rPr>
        <w:t>：由试产工单及颗粒分拨触发；</w:t>
      </w:r>
    </w:p>
    <w:p>
      <w:pPr>
        <w:pStyle w:val="16"/>
      </w:pPr>
      <w:r>
        <w:rPr>
          <w:rFonts w:ascii="微软雅黑" w:hAnsi="微软雅黑" w:eastAsia="微软雅黑"/>
          <w:b/>
          <w:color w:val="1F2937"/>
          <w:sz w:val="21"/>
        </w:rPr>
        <w:t>样品库取料</w:t>
      </w:r>
      <w:r>
        <w:rPr>
          <w:rFonts w:ascii="微软雅黑" w:hAnsi="微软雅黑" w:eastAsia="微软雅黑"/>
          <w:color w:val="1F2937"/>
          <w:sz w:val="21"/>
        </w:rPr>
        <w:t>：从已有颗粒库存独立注塑，例如竞品分析。</w:t>
      </w:r>
    </w:p>
    <w:p>
      <w:r>
        <w:rPr>
          <w:rFonts w:ascii="微软雅黑" w:hAnsi="微软雅黑" w:eastAsia="微软雅黑"/>
          <w:color w:val="1F2937"/>
          <w:sz w:val="21"/>
        </w:rPr>
        <w:t>任务状态为待生产、注塑中和已完成。</w:t>
      </w:r>
    </w:p>
    <w:p>
      <w:pPr>
        <w:pStyle w:val="4"/>
        <w:keepNext/>
        <w:keepLines/>
      </w:pPr>
      <w:bookmarkStart w:id="88" w:name="_Toc19053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16.2 开始注塑</w:t>
      </w:r>
      <w:bookmarkEnd w:id="88"/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进入任务详情。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核对颗粒来源、项目、配方版本、模具需求和计划制样数量。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检查模具状态必须为可用。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点击“开始注塑”。</w:t>
      </w:r>
    </w:p>
    <w:p>
      <w:pPr>
        <w:pStyle w:val="4"/>
        <w:keepNext/>
        <w:keepLines/>
      </w:pPr>
      <w:bookmarkStart w:id="89" w:name="_Toc2777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16.3 完成注塑</w:t>
      </w:r>
      <w:bookmarkEnd w:id="89"/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填写注塑工艺备注和完成备注。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按模具和配方版本确认实际样条数量、合格数量等信息。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点击完成。</w:t>
      </w:r>
    </w:p>
    <w:p>
      <w:r>
        <w:rPr>
          <w:rFonts w:ascii="微软雅黑" w:hAnsi="微软雅黑" w:eastAsia="微软雅黑"/>
          <w:color w:val="1F2937"/>
          <w:sz w:val="21"/>
        </w:rPr>
        <w:t>完成后系统会生成样条库存；工单已选择测试项目时，还会形成后续材料测试任务。</w:t>
      </w:r>
    </w:p>
    <w:p>
      <w:pPr>
        <w:pStyle w:val="4"/>
        <w:keepNext/>
        <w:keepLines/>
      </w:pPr>
      <w:bookmarkStart w:id="90" w:name="_Toc4940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16.4 样品库存</w:t>
      </w:r>
      <w:bookmarkEnd w:id="90"/>
    </w:p>
    <w:p>
      <w:pPr>
        <w:spacing w:before="40" w:after="140"/>
      </w:pPr>
      <w:r>
        <w:rPr>
          <w:rFonts w:ascii="微软雅黑" w:hAnsi="微软雅黑" w:eastAsia="微软雅黑"/>
          <w:b/>
          <w:color w:val="1F2937"/>
          <w:sz w:val="21"/>
        </w:rPr>
        <w:t>操作入口：</w:t>
      </w:r>
      <w:r>
        <w:rPr>
          <w:rFonts w:ascii="微软雅黑" w:hAnsi="微软雅黑" w:eastAsia="微软雅黑"/>
          <w:color w:val="B45309"/>
          <w:sz w:val="19"/>
          <w:shd w:val="clear" w:color="auto" w:fill="FFF7ED"/>
        </w:rPr>
        <w:t>点击左侧菜单“模具注塑中心” → “样品库存”。</w:t>
      </w:r>
    </w:p>
    <w:p>
      <w:r>
        <w:rPr>
          <w:rFonts w:ascii="微软雅黑" w:hAnsi="微软雅黑" w:eastAsia="微软雅黑"/>
          <w:color w:val="1F2937"/>
          <w:sz w:val="21"/>
        </w:rPr>
        <w:t>可查看待注塑颗粒及注塑后样条，包含来源工单、配方、模具、数量、批次和状态等信息。</w:t>
      </w:r>
    </w:p>
    <w:p>
      <w:pPr>
        <w:pStyle w:val="4"/>
        <w:keepNext/>
        <w:keepLines/>
      </w:pPr>
      <w:bookmarkStart w:id="91" w:name="_Toc31289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16.5 模具台账</w:t>
      </w:r>
      <w:bookmarkEnd w:id="91"/>
    </w:p>
    <w:p>
      <w:pPr>
        <w:spacing w:before="40" w:after="140"/>
      </w:pPr>
      <w:r>
        <w:rPr>
          <w:rFonts w:ascii="微软雅黑" w:hAnsi="微软雅黑" w:eastAsia="微软雅黑"/>
          <w:b/>
          <w:color w:val="1F2937"/>
          <w:sz w:val="21"/>
        </w:rPr>
        <w:t>操作入口：</w:t>
      </w:r>
      <w:r>
        <w:rPr>
          <w:rFonts w:ascii="微软雅黑" w:hAnsi="微软雅黑" w:eastAsia="微软雅黑"/>
          <w:color w:val="B45309"/>
          <w:sz w:val="19"/>
          <w:shd w:val="clear" w:color="auto" w:fill="FFF7ED"/>
        </w:rPr>
        <w:t>点击左侧菜单“模具注塑中心” → “模具台账”。</w:t>
      </w:r>
    </w:p>
    <w:p>
      <w:r>
        <w:rPr>
          <w:rFonts w:ascii="微软雅黑" w:hAnsi="微软雅黑" w:eastAsia="微软雅黑"/>
          <w:color w:val="1F2937"/>
          <w:sz w:val="21"/>
        </w:rPr>
        <w:t>维护内容包括：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模具名称和唯一编号；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模具类型：测试样条、成品、原型、工装夹具或其他；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标准：ISO、ASTM、GB 或其他；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样条描述和模腔数量；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状态：可用、维护中、已退役；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备注。</w:t>
      </w:r>
    </w:p>
    <w:p>
      <w:r>
        <w:rPr>
          <w:rFonts w:ascii="微软雅黑" w:hAnsi="微软雅黑" w:eastAsia="微软雅黑"/>
          <w:color w:val="1F2937"/>
          <w:sz w:val="21"/>
        </w:rPr>
        <w:t>维护中或已退役模具不应安排新任务。编号必须唯一。</w:t>
      </w:r>
    </w:p>
    <w:p>
      <w:pPr>
        <w:pBdr>
          <w:bottom w:val="single" w:color="CBD5E1" w:sz="8" w:space="1"/>
        </w:pBdr>
        <w:spacing w:after="100"/>
      </w:pPr>
    </w:p>
    <w:p>
      <w:pPr>
        <w:pStyle w:val="3"/>
        <w:keepNext/>
        <w:keepLines/>
        <w:pBdr>
          <w:bottom w:val="single" w:color="2563EB" w:sz="12" w:space="1"/>
        </w:pBdr>
      </w:pPr>
      <w:bookmarkStart w:id="92" w:name="_Toc27728"/>
      <w:r>
        <w:rPr>
          <w:rFonts w:ascii="微软雅黑" w:hAnsi="微软雅黑" w:eastAsia="微软雅黑"/>
          <w:b/>
          <w:i w:val="0"/>
          <w:color w:val="2563EB"/>
          <w:sz w:val="36"/>
          <w:u w:val="none"/>
        </w:rPr>
        <w:t>17. 材料测试中心</w:t>
      </w:r>
      <w:bookmarkEnd w:id="92"/>
    </w:p>
    <w:p>
      <w:pPr>
        <w:pStyle w:val="4"/>
        <w:keepNext/>
        <w:keepLines/>
      </w:pPr>
      <w:bookmarkStart w:id="93" w:name="_Toc27234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17.1 测试任务</w:t>
      </w:r>
      <w:bookmarkEnd w:id="93"/>
    </w:p>
    <w:p>
      <w:pPr>
        <w:spacing w:before="40" w:after="140"/>
      </w:pPr>
      <w:r>
        <w:rPr>
          <w:rFonts w:ascii="微软雅黑" w:hAnsi="微软雅黑" w:eastAsia="微软雅黑"/>
          <w:b/>
          <w:color w:val="1F2937"/>
          <w:sz w:val="21"/>
        </w:rPr>
        <w:t>操作入口：</w:t>
      </w:r>
      <w:r>
        <w:rPr>
          <w:rFonts w:ascii="微软雅黑" w:hAnsi="微软雅黑" w:eastAsia="微软雅黑"/>
          <w:color w:val="B45309"/>
          <w:sz w:val="19"/>
          <w:shd w:val="clear" w:color="auto" w:fill="FFF7ED"/>
        </w:rPr>
        <w:t>点击左侧菜单“材料测试中心” → “测试任务”。</w:t>
      </w:r>
    </w:p>
    <w:p>
      <w:r>
        <w:rPr>
          <w:rFonts w:ascii="微软雅黑" w:hAnsi="微软雅黑" w:eastAsia="微软雅黑"/>
          <w:color w:val="1F2937"/>
          <w:sz w:val="21"/>
        </w:rPr>
        <w:t>测试任务通常由注塑完成后自动创建，关联生产工单、实验单、配方版本和工单中选择的测试项目。</w:t>
      </w:r>
    </w:p>
    <w:p>
      <w:r>
        <w:rPr>
          <w:rFonts w:ascii="微软雅黑" w:hAnsi="微软雅黑" w:eastAsia="微软雅黑"/>
          <w:color w:val="1F2937"/>
          <w:sz w:val="21"/>
        </w:rPr>
        <w:t>状态包括待测试、测试中、已完成和已回写。</w:t>
      </w:r>
    </w:p>
    <w:p>
      <w:pPr>
        <w:pStyle w:val="4"/>
        <w:keepNext/>
        <w:keepLines/>
      </w:pPr>
      <w:bookmarkStart w:id="94" w:name="_Toc22614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17.2 填写测试结果</w:t>
      </w:r>
      <w:bookmarkEnd w:id="94"/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进入测试任务详情。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点击“填写结果”。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在“测试项 × 配方版本”矩阵中逐格填写。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数值型指标填写数值；文本型填写文字；选择型从预设选项选择。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填写测试日期和必要备注。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保存。</w:t>
      </w:r>
    </w:p>
    <w:p>
      <w:r>
        <w:rPr>
          <w:rFonts w:ascii="微软雅黑" w:hAnsi="微软雅黑" w:eastAsia="微软雅黑"/>
          <w:color w:val="1F2937"/>
          <w:sz w:val="21"/>
        </w:rPr>
        <w:t>同一工单有多个配方版本时，每一列对应一个版本。填写前确认列头版本号，避免串写。</w:t>
      </w:r>
    </w:p>
    <w:p>
      <w:pPr>
        <w:pStyle w:val="4"/>
        <w:keepNext/>
        <w:keepLines/>
      </w:pPr>
      <w:bookmarkStart w:id="95" w:name="_Toc26223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17.3 回写配方</w:t>
      </w:r>
      <w:bookmarkEnd w:id="95"/>
    </w:p>
    <w:p>
      <w:r>
        <w:rPr>
          <w:rFonts w:ascii="微软雅黑" w:hAnsi="微软雅黑" w:eastAsia="微软雅黑"/>
          <w:color w:val="1F2937"/>
          <w:sz w:val="21"/>
        </w:rPr>
        <w:t>当结果满足任务要求后：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在详情页复核所有测试项和版本。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点击“回写配方”。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确认系统显示“已回写”。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到配方详情或项目配方过程页复核结果。</w:t>
      </w:r>
    </w:p>
    <w:p>
      <w:r>
        <w:rPr>
          <w:rFonts w:ascii="微软雅黑" w:hAnsi="微软雅黑" w:eastAsia="微软雅黑"/>
          <w:color w:val="1F2937"/>
          <w:sz w:val="21"/>
        </w:rPr>
        <w:t>回写会把试产测试中间结果写入正式配方测试结果，是质量数据的正式落库动作。</w:t>
      </w:r>
    </w:p>
    <w:p>
      <w:pPr>
        <w:pStyle w:val="4"/>
        <w:keepNext/>
        <w:keepLines/>
      </w:pPr>
      <w:bookmarkStart w:id="96" w:name="_Toc17145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17.4 手动完成并回写</w:t>
      </w:r>
      <w:bookmarkEnd w:id="96"/>
    </w:p>
    <w:p>
      <w:r>
        <w:rPr>
          <w:rFonts w:ascii="微软雅黑" w:hAnsi="微软雅黑" w:eastAsia="微软雅黑"/>
          <w:color w:val="1F2937"/>
          <w:sz w:val="21"/>
        </w:rPr>
        <w:t>当部分测试项确认无法提供且业务决定结束任务时，可点击“手动完成并回写”。系统会结束任务并仅回写已填写的数据。</w:t>
      </w:r>
    </w:p>
    <w:p>
      <w:r>
        <w:rPr>
          <w:rFonts w:ascii="微软雅黑" w:hAnsi="微软雅黑" w:eastAsia="微软雅黑"/>
          <w:color w:val="1F2937"/>
          <w:sz w:val="21"/>
        </w:rPr>
        <w:t>此操作可能造成配方测试项不完整，必须在业务负责人确认后使用，并在备注中说明缺失原因。</w:t>
      </w:r>
    </w:p>
    <w:p>
      <w:pPr>
        <w:pStyle w:val="4"/>
        <w:keepNext/>
        <w:keepLines/>
      </w:pPr>
      <w:bookmarkStart w:id="97" w:name="_Toc11470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17.5 样条库存</w:t>
      </w:r>
      <w:bookmarkEnd w:id="97"/>
    </w:p>
    <w:p>
      <w:pPr>
        <w:spacing w:before="40" w:after="140"/>
      </w:pPr>
      <w:r>
        <w:rPr>
          <w:rFonts w:ascii="微软雅黑" w:hAnsi="微软雅黑" w:eastAsia="微软雅黑"/>
          <w:b/>
          <w:color w:val="1F2937"/>
          <w:sz w:val="21"/>
        </w:rPr>
        <w:t>操作入口：</w:t>
      </w:r>
      <w:r>
        <w:rPr>
          <w:rFonts w:ascii="微软雅黑" w:hAnsi="微软雅黑" w:eastAsia="微软雅黑"/>
          <w:color w:val="B45309"/>
          <w:sz w:val="19"/>
          <w:shd w:val="clear" w:color="auto" w:fill="FFF7ED"/>
        </w:rPr>
        <w:t>点击左侧菜单“材料测试中心” → “样条库存”。</w:t>
      </w:r>
    </w:p>
    <w:p>
      <w:r>
        <w:rPr>
          <w:rFonts w:ascii="微软雅黑" w:hAnsi="微软雅黑" w:eastAsia="微软雅黑"/>
          <w:color w:val="1F2937"/>
          <w:sz w:val="21"/>
        </w:rPr>
        <w:t>查看待测试和已测试样条，包含批次、配方版本、模具、合格数量和状态。测试前核对样条标签与系统批次一致。</w:t>
      </w:r>
    </w:p>
    <w:p>
      <w:pPr>
        <w:pBdr>
          <w:bottom w:val="single" w:color="CBD5E1" w:sz="8" w:space="1"/>
        </w:pBdr>
        <w:spacing w:after="100"/>
      </w:pPr>
    </w:p>
    <w:p>
      <w:pPr>
        <w:pStyle w:val="3"/>
        <w:keepNext/>
        <w:keepLines/>
        <w:pBdr>
          <w:bottom w:val="single" w:color="2563EB" w:sz="12" w:space="1"/>
        </w:pBdr>
      </w:pPr>
      <w:bookmarkStart w:id="98" w:name="_Toc29987"/>
      <w:r>
        <w:rPr>
          <w:rFonts w:ascii="微软雅黑" w:hAnsi="微软雅黑" w:eastAsia="微软雅黑"/>
          <w:b/>
          <w:i w:val="0"/>
          <w:color w:val="2563EB"/>
          <w:sz w:val="36"/>
          <w:u w:val="none"/>
        </w:rPr>
        <w:t>18. 生产工艺库</w:t>
      </w:r>
      <w:bookmarkEnd w:id="98"/>
    </w:p>
    <w:p>
      <w:pPr>
        <w:pStyle w:val="4"/>
        <w:keepNext/>
        <w:keepLines/>
      </w:pPr>
      <w:bookmarkStart w:id="99" w:name="_Toc15891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18.1 工艺方案</w:t>
      </w:r>
      <w:bookmarkEnd w:id="99"/>
    </w:p>
    <w:p>
      <w:pPr>
        <w:spacing w:before="40" w:after="140"/>
      </w:pPr>
      <w:r>
        <w:rPr>
          <w:rFonts w:ascii="微软雅黑" w:hAnsi="微软雅黑" w:eastAsia="微软雅黑"/>
          <w:b/>
          <w:color w:val="1F2937"/>
          <w:sz w:val="21"/>
        </w:rPr>
        <w:t>操作入口：</w:t>
      </w:r>
      <w:r>
        <w:rPr>
          <w:rFonts w:ascii="微软雅黑" w:hAnsi="微软雅黑" w:eastAsia="微软雅黑"/>
          <w:color w:val="B45309"/>
          <w:sz w:val="19"/>
          <w:shd w:val="clear" w:color="auto" w:fill="FFF7ED"/>
        </w:rPr>
        <w:t>点击左侧菜单“生产工艺库” → “工艺方案列表”。</w:t>
      </w:r>
    </w:p>
    <w:p>
      <w:r>
        <w:rPr>
          <w:rFonts w:ascii="微软雅黑" w:hAnsi="微软雅黑" w:eastAsia="微软雅黑"/>
          <w:color w:val="1F2937"/>
          <w:sz w:val="21"/>
        </w:rPr>
        <w:t>工艺方案可关联适用材料、机台和螺杆组合，保存温区、转速、扭矩、压力、冷却、过滤及 QC 要点等标准参数。</w:t>
      </w:r>
    </w:p>
    <w:p>
      <w:r>
        <w:rPr>
          <w:rFonts w:ascii="微软雅黑" w:hAnsi="微软雅黑" w:eastAsia="微软雅黑"/>
          <w:color w:val="1F2937"/>
          <w:sz w:val="21"/>
        </w:rPr>
        <w:t>新增步骤：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点击新增工艺方案。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填写方案名称和工艺类型。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选择适用材料、机台和螺杆组合。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填写标准参数及 QC 检查/更换要点。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保存。</w:t>
      </w:r>
    </w:p>
    <w:p>
      <w:r>
        <w:rPr>
          <w:rFonts w:ascii="微软雅黑" w:hAnsi="微软雅黑" w:eastAsia="微软雅黑"/>
          <w:color w:val="1F2937"/>
          <w:sz w:val="21"/>
        </w:rPr>
        <w:t>可从详情复制副本，再修改为新方案。复制后务必修改名称及实际差异，避免多个方案难以区分。</w:t>
      </w:r>
    </w:p>
    <w:p>
      <w:pPr>
        <w:pStyle w:val="4"/>
        <w:keepNext/>
        <w:keepLines/>
      </w:pPr>
      <w:bookmarkStart w:id="100" w:name="_Toc9001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18.2 机台型号</w:t>
      </w:r>
      <w:bookmarkEnd w:id="100"/>
    </w:p>
    <w:p>
      <w:pPr>
        <w:spacing w:before="40" w:after="140"/>
      </w:pPr>
      <w:r>
        <w:rPr>
          <w:rFonts w:ascii="微软雅黑" w:hAnsi="微软雅黑" w:eastAsia="微软雅黑"/>
          <w:b/>
          <w:color w:val="1F2937"/>
          <w:sz w:val="21"/>
        </w:rPr>
        <w:t>操作入口：</w:t>
      </w:r>
      <w:r>
        <w:rPr>
          <w:rFonts w:ascii="微软雅黑" w:hAnsi="微软雅黑" w:eastAsia="微软雅黑"/>
          <w:color w:val="B45309"/>
          <w:sz w:val="19"/>
          <w:shd w:val="clear" w:color="auto" w:fill="FFF7ED"/>
        </w:rPr>
        <w:t>点击左侧菜单“生产工艺库” → “机台型号管理”。</w:t>
      </w:r>
    </w:p>
    <w:p>
      <w:r>
        <w:rPr>
          <w:rFonts w:ascii="微软雅黑" w:hAnsi="微软雅黑" w:eastAsia="微软雅黑"/>
          <w:color w:val="1F2937"/>
          <w:sz w:val="21"/>
        </w:rPr>
        <w:t>维护品牌、型号、螺杆直径、长径比等机台基础信息。型号必须与现场标识一致。</w:t>
      </w:r>
    </w:p>
    <w:p>
      <w:pPr>
        <w:pStyle w:val="4"/>
        <w:keepNext/>
        <w:keepLines/>
      </w:pPr>
      <w:bookmarkStart w:id="101" w:name="_Toc803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18.3 螺杆组合</w:t>
      </w:r>
      <w:bookmarkEnd w:id="101"/>
    </w:p>
    <w:p>
      <w:pPr>
        <w:spacing w:before="40" w:after="140"/>
      </w:pPr>
      <w:r>
        <w:rPr>
          <w:rFonts w:ascii="微软雅黑" w:hAnsi="微软雅黑" w:eastAsia="微软雅黑"/>
          <w:b/>
          <w:color w:val="1F2937"/>
          <w:sz w:val="21"/>
        </w:rPr>
        <w:t>操作入口：</w:t>
      </w:r>
      <w:r>
        <w:rPr>
          <w:rFonts w:ascii="微软雅黑" w:hAnsi="微软雅黑" w:eastAsia="微软雅黑"/>
          <w:color w:val="B45309"/>
          <w:sz w:val="19"/>
          <w:shd w:val="clear" w:color="auto" w:fill="FFF7ED"/>
        </w:rPr>
        <w:t>点击左侧菜单“生产工艺库” → “螺杆组合管理”。</w:t>
      </w:r>
    </w:p>
    <w:p>
      <w:r>
        <w:rPr>
          <w:rFonts w:ascii="微软雅黑" w:hAnsi="微软雅黑" w:eastAsia="微软雅黑"/>
          <w:color w:val="1F2937"/>
          <w:sz w:val="21"/>
        </w:rPr>
        <w:t>维护组合名称、组合号、适用机台及排列逻辑。建议名称包含基材、功能和版本，便于工单选择。</w:t>
      </w:r>
    </w:p>
    <w:p>
      <w:pPr>
        <w:pBdr>
          <w:bottom w:val="single" w:color="CBD5E1" w:sz="8" w:space="1"/>
        </w:pBdr>
        <w:spacing w:after="100"/>
      </w:pPr>
    </w:p>
    <w:p>
      <w:pPr>
        <w:pStyle w:val="3"/>
        <w:keepNext/>
        <w:keepLines/>
        <w:pBdr>
          <w:bottom w:val="single" w:color="2563EB" w:sz="12" w:space="1"/>
        </w:pBdr>
      </w:pPr>
      <w:bookmarkStart w:id="102" w:name="_Toc2227"/>
      <w:r>
        <w:rPr>
          <w:rFonts w:ascii="微软雅黑" w:hAnsi="微软雅黑" w:eastAsia="微软雅黑"/>
          <w:b/>
          <w:i w:val="0"/>
          <w:color w:val="2563EB"/>
          <w:sz w:val="36"/>
          <w:u w:val="none"/>
        </w:rPr>
        <w:t>19. 原材料与供应商</w:t>
      </w:r>
      <w:bookmarkEnd w:id="102"/>
    </w:p>
    <w:p>
      <w:pPr>
        <w:pStyle w:val="4"/>
        <w:keepNext/>
        <w:keepLines/>
      </w:pPr>
      <w:bookmarkStart w:id="103" w:name="_Toc19958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19.1 原材料列表</w:t>
      </w:r>
      <w:bookmarkEnd w:id="103"/>
    </w:p>
    <w:p>
      <w:pPr>
        <w:spacing w:before="40" w:after="140"/>
      </w:pPr>
      <w:r>
        <w:rPr>
          <w:rFonts w:ascii="微软雅黑" w:hAnsi="微软雅黑" w:eastAsia="微软雅黑"/>
          <w:b/>
          <w:color w:val="1F2937"/>
          <w:sz w:val="21"/>
        </w:rPr>
        <w:t>操作入口：</w:t>
      </w:r>
      <w:r>
        <w:rPr>
          <w:rFonts w:ascii="微软雅黑" w:hAnsi="微软雅黑" w:eastAsia="微软雅黑"/>
          <w:color w:val="B45309"/>
          <w:sz w:val="19"/>
          <w:shd w:val="clear" w:color="auto" w:fill="FFF7ED"/>
        </w:rPr>
        <w:t>点击左侧菜单“原材料/供应商” → “原材料列表”。</w:t>
      </w:r>
    </w:p>
    <w:p>
      <w:r>
        <w:rPr>
          <w:rFonts w:ascii="微软雅黑" w:hAnsi="微软雅黑" w:eastAsia="微软雅黑"/>
          <w:color w:val="1F2937"/>
          <w:sz w:val="21"/>
        </w:rPr>
        <w:t>可按名称、型号、内部编码、类型、供应商和适用材料等条件查询。</w:t>
      </w:r>
    </w:p>
    <w:p>
      <w:r>
        <w:rPr>
          <w:rFonts w:ascii="微软雅黑" w:hAnsi="微软雅黑" w:eastAsia="微软雅黑"/>
          <w:color w:val="1F2937"/>
          <w:sz w:val="21"/>
        </w:rPr>
        <w:t>详情包括：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原材料名称、型号、内部物料编码；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分类、供应商和使用方法；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性能指标与测试日期；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最新价格、分厂价格及价格趋势；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SAP 库存和安全库存；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被配方使用情况。</w:t>
      </w:r>
    </w:p>
    <w:p>
      <w:pPr>
        <w:pStyle w:val="4"/>
        <w:keepNext/>
        <w:keepLines/>
      </w:pPr>
      <w:bookmarkStart w:id="104" w:name="_Toc26883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19.2 原材料价格与计算成本</w:t>
      </w:r>
      <w:bookmarkEnd w:id="104"/>
    </w:p>
    <w:p>
      <w:pPr>
        <w:spacing w:before="40" w:after="140"/>
      </w:pPr>
      <w:r>
        <w:rPr>
          <w:rFonts w:ascii="微软雅黑" w:hAnsi="微软雅黑" w:eastAsia="微软雅黑"/>
          <w:b/>
          <w:i w:val="0"/>
          <w:color w:val="1F2937"/>
          <w:sz w:val="21"/>
          <w:u w:val="none"/>
        </w:rPr>
        <w:t>操作入口：</w:t>
      </w:r>
      <w:r>
        <w:rPr>
          <w:rFonts w:ascii="微软雅黑" w:hAnsi="微软雅黑" w:eastAsia="微软雅黑"/>
          <w:b w:val="0"/>
          <w:i w:val="0"/>
          <w:color w:val="B45309"/>
          <w:sz w:val="19"/>
          <w:u w:val="none"/>
          <w:shd w:val="clear" w:color="auto" w:fill="FFF7ED"/>
        </w:rPr>
        <w:t>点击左侧菜单“原材料/供应商” → “原材料列表” → 点击原材料名称 → 查看价格概览、分厂价格和价格走势。</w:t>
      </w:r>
    </w:p>
    <w:p>
      <w:r>
        <w:rPr>
          <w:rFonts w:ascii="微软雅黑" w:hAnsi="微软雅黑" w:eastAsia="微软雅黑"/>
          <w:b w:val="0"/>
          <w:i w:val="0"/>
          <w:color w:val="1F2937"/>
          <w:sz w:val="21"/>
          <w:u w:val="none"/>
        </w:rPr>
        <w:t>原材料列表中的“成本”是系统根据价格记录实时计算的最新单价，不是在原材料基本资料中手工填写的固定成本。价格记录单位统一为元/kg，通常由 SAP 同步产生，也可由有权限的管理人员维护价格历史记录。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50"/>
        <w:gridCol w:w="44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438" w:type="dxa"/>
            <w:shd w:val="clear" w:color="auto" w:fill="2563E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  <w:u w:val="none"/>
              </w:rPr>
              <w:t>价格指标</w:t>
            </w:r>
          </w:p>
        </w:tc>
        <w:tc>
          <w:tcPr>
            <w:tcW w:w="6463" w:type="dxa"/>
            <w:shd w:val="clear" w:color="auto" w:fill="2563E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  <w:u w:val="none"/>
              </w:rPr>
              <w:t>计算口径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3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8"/>
                <w:u w:val="none"/>
              </w:rPr>
              <w:t>最新单价</w:t>
            </w:r>
          </w:p>
        </w:tc>
        <w:tc>
          <w:tcPr>
            <w:tcW w:w="646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8"/>
                <w:u w:val="none"/>
              </w:rPr>
              <w:t>先找该原材料全部价格记录中的最新日期，再对该日期各工厂价格取平均，结果保留 2 位小数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3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8"/>
                <w:u w:val="none"/>
              </w:rPr>
              <w:t>近 N 月均价</w:t>
            </w:r>
          </w:p>
        </w:tc>
        <w:tc>
          <w:tcPr>
            <w:tcW w:w="646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8"/>
                <w:u w:val="none"/>
              </w:rPr>
              <w:t>在最近 N × 30 天内，先计算每天各工厂价格的日均值，再对这些日均值取算术平均，结果保留 2 位小数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3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8"/>
                <w:u w:val="none"/>
              </w:rPr>
              <w:t>指定工厂最新单价</w:t>
            </w:r>
          </w:p>
        </w:tc>
        <w:tc>
          <w:tcPr>
            <w:tcW w:w="646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8"/>
                <w:u w:val="none"/>
              </w:rPr>
              <w:t>只在所选工厂内找最新日期并取该日价格，不回退到全部工厂价格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3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8"/>
                <w:u w:val="none"/>
              </w:rPr>
              <w:t>指定工厂近 N 月均价</w:t>
            </w:r>
          </w:p>
        </w:tc>
        <w:tc>
          <w:tcPr>
            <w:tcW w:w="646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8"/>
                <w:u w:val="none"/>
              </w:rPr>
              <w:t>只使用所选工厂最近 N × 30 天的日均价格；窗口内无记录时回退到该工厂最新单价</w:t>
            </w:r>
          </w:p>
        </w:tc>
      </w:tr>
    </w:tbl>
    <w:p>
      <w:r>
        <w:rPr>
          <w:rFonts w:ascii="微软雅黑" w:hAnsi="微软雅黑" w:eastAsia="微软雅黑"/>
          <w:b w:val="0"/>
          <w:i w:val="0"/>
          <w:color w:val="1F2937"/>
          <w:sz w:val="21"/>
          <w:u w:val="none"/>
        </w:rPr>
        <w:t>近 N 月窗口内没有价格、但历史上存在更早价格时，系统使用同一范围内的最新历史价格作为均价回退值；从未有价格记录时显示“-”。例如，同一天上海工厂价格为 10 元/kg、昆山工厂为 20 元/kg，该日均价为 15 元/kg；另一日价格为 30 元/kg，则两天的近 N 月均价为 (15 + 30) ÷ 2 = 22.50 元/kg，不是三条记录直接平均得到的 20 元/kg。</w:t>
      </w:r>
    </w:p>
    <w:p>
      <w:r>
        <w:rPr>
          <w:rFonts w:ascii="微软雅黑" w:hAnsi="微软雅黑" w:eastAsia="微软雅黑"/>
          <w:b w:val="0"/>
          <w:i w:val="0"/>
          <w:color w:val="1F2937"/>
          <w:sz w:val="21"/>
          <w:u w:val="none"/>
        </w:rPr>
        <w:t>SAP 同步价格按“移动平均价 ÷ 价格单位”换算为 CNY/kg；非 CNY、价格单位无效、单价不大于 0 或默认情况下属于未来期间的记录不会写入价格表。同一原材料、工厂和日期只保留一条有效价格记录。</w:t>
      </w:r>
    </w:p>
    <w:p>
      <w:r>
        <w:rPr>
          <w:rFonts w:ascii="微软雅黑" w:hAnsi="微软雅黑" w:eastAsia="微软雅黑"/>
          <w:b w:val="0"/>
          <w:i w:val="0"/>
          <w:color w:val="1F2937"/>
          <w:sz w:val="21"/>
          <w:u w:val="none"/>
        </w:rPr>
        <w:t>若页面成本为空或明显不准确，请依次检查：内部物料编码是否正确、相关工厂是否存在价格记录、价格日期是否有效、均价月数配置是否符合当前口径，以及 SAP 同步是否成功。原材料或配方详情页已打开较久时，应刷新页面重新读取实时价格。</w:t>
      </w:r>
    </w:p>
    <w:p>
      <w:pPr>
        <w:pStyle w:val="4"/>
        <w:keepNext/>
        <w:keepLines/>
      </w:pPr>
      <w:bookmarkStart w:id="105" w:name="_Toc20811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19.3 新增原材料</w:t>
      </w:r>
      <w:bookmarkEnd w:id="105"/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填写名称、型号和内部物料编码。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选择原材料类型和供应商。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选择适用成品材料。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填写采购/使用信息和说明。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新增性能指标并填写值、范围、日期和备注。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保存。</w:t>
      </w:r>
    </w:p>
    <w:p>
      <w:r>
        <w:rPr>
          <w:rFonts w:ascii="微软雅黑" w:hAnsi="微软雅黑" w:eastAsia="微软雅黑"/>
          <w:color w:val="1F2937"/>
          <w:sz w:val="21"/>
        </w:rPr>
        <w:t>价格不在普通原材料表单中直接维护，而由价格记录或 SAP 同步提供。若成本计算没有价格，请联系有权限的人员检查价格记录。</w:t>
      </w:r>
    </w:p>
    <w:p>
      <w:r>
        <w:rPr>
          <w:rFonts w:ascii="微软雅黑" w:hAnsi="微软雅黑" w:eastAsia="微软雅黑"/>
          <w:color w:val="1F2937"/>
          <w:sz w:val="21"/>
        </w:rPr>
        <w:t>原材料支持“复制副本”。复制后应修改型号、编码、供应商和差异指标。</w:t>
      </w:r>
    </w:p>
    <w:p>
      <w:pPr>
        <w:pStyle w:val="4"/>
        <w:keepNext/>
        <w:keepLines/>
      </w:pPr>
      <w:bookmarkStart w:id="106" w:name="_Toc15960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19.4 原材料类型</w:t>
      </w:r>
      <w:bookmarkEnd w:id="106"/>
    </w:p>
    <w:p>
      <w:pPr>
        <w:spacing w:before="40" w:after="140"/>
      </w:pPr>
      <w:r>
        <w:rPr>
          <w:rFonts w:ascii="微软雅黑" w:hAnsi="微软雅黑" w:eastAsia="微软雅黑"/>
          <w:b/>
          <w:color w:val="1F2937"/>
          <w:sz w:val="21"/>
        </w:rPr>
        <w:t>操作入口：</w:t>
      </w:r>
      <w:r>
        <w:rPr>
          <w:rFonts w:ascii="微软雅黑" w:hAnsi="微软雅黑" w:eastAsia="微软雅黑"/>
          <w:color w:val="B45309"/>
          <w:sz w:val="19"/>
          <w:shd w:val="clear" w:color="auto" w:fill="FFF7ED"/>
        </w:rPr>
        <w:t>点击左侧菜单“原材料/供应商” → “原材料类型分类”。</w:t>
      </w:r>
    </w:p>
    <w:p>
      <w:r>
        <w:rPr>
          <w:rFonts w:ascii="微软雅黑" w:hAnsi="微软雅黑" w:eastAsia="微软雅黑"/>
          <w:color w:val="1F2937"/>
          <w:sz w:val="21"/>
        </w:rPr>
        <w:t>维护类型名称、代码、排序和描述。排序数字越小越靠前。</w:t>
      </w:r>
    </w:p>
    <w:p>
      <w:pPr>
        <w:pStyle w:val="4"/>
        <w:keepNext/>
        <w:keepLines/>
      </w:pPr>
      <w:bookmarkStart w:id="107" w:name="_Toc20214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19.5 供应商资料库</w:t>
      </w:r>
      <w:bookmarkEnd w:id="107"/>
    </w:p>
    <w:p>
      <w:pPr>
        <w:spacing w:before="40" w:after="140"/>
      </w:pPr>
      <w:r>
        <w:rPr>
          <w:rFonts w:ascii="微软雅黑" w:hAnsi="微软雅黑" w:eastAsia="微软雅黑"/>
          <w:b/>
          <w:color w:val="1F2937"/>
          <w:sz w:val="21"/>
        </w:rPr>
        <w:t>操作入口：</w:t>
      </w:r>
      <w:r>
        <w:rPr>
          <w:rFonts w:ascii="微软雅黑" w:hAnsi="微软雅黑" w:eastAsia="微软雅黑"/>
          <w:color w:val="B45309"/>
          <w:sz w:val="19"/>
          <w:shd w:val="clear" w:color="auto" w:fill="FFF7ED"/>
        </w:rPr>
        <w:t>点击左侧菜单“原材料/供应商” → “供应商资料库”。</w:t>
      </w:r>
    </w:p>
    <w:p>
      <w:r>
        <w:rPr>
          <w:rFonts w:ascii="微软雅黑" w:hAnsi="微软雅黑" w:eastAsia="微软雅黑"/>
          <w:color w:val="1F2937"/>
          <w:sz w:val="21"/>
        </w:rPr>
        <w:t>维护供应商基本信息、产品类别和描述。供应商会被原材料、价格和 SAP 数据引用，重复供应商应先核对后再新增。</w:t>
      </w:r>
    </w:p>
    <w:p>
      <w:pPr>
        <w:pBdr>
          <w:bottom w:val="single" w:color="CBD5E1" w:sz="8" w:space="1"/>
        </w:pBdr>
        <w:spacing w:after="100"/>
      </w:pPr>
    </w:p>
    <w:p>
      <w:pPr>
        <w:pStyle w:val="3"/>
        <w:keepNext/>
        <w:keepLines/>
        <w:pBdr>
          <w:bottom w:val="single" w:color="2563EB" w:sz="12" w:space="1"/>
        </w:pBdr>
      </w:pPr>
      <w:bookmarkStart w:id="108" w:name="_Toc31100"/>
      <w:r>
        <w:rPr>
          <w:rFonts w:ascii="微软雅黑" w:hAnsi="微软雅黑" w:eastAsia="微软雅黑"/>
          <w:b/>
          <w:i w:val="0"/>
          <w:color w:val="2563EB"/>
          <w:sz w:val="36"/>
          <w:u w:val="none"/>
        </w:rPr>
        <w:t>20. 表单管理中心</w:t>
      </w:r>
      <w:bookmarkEnd w:id="108"/>
    </w:p>
    <w:p>
      <w:pPr>
        <w:pStyle w:val="4"/>
        <w:keepNext/>
        <w:keepLines/>
      </w:pPr>
      <w:bookmarkStart w:id="109" w:name="_Toc31161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20.1 创建业务表单</w:t>
      </w:r>
      <w:bookmarkEnd w:id="109"/>
    </w:p>
    <w:p>
      <w:pPr>
        <w:spacing w:before="40" w:after="140"/>
      </w:pPr>
      <w:r>
        <w:rPr>
          <w:rFonts w:ascii="微软雅黑" w:hAnsi="微软雅黑" w:eastAsia="微软雅黑"/>
          <w:b/>
          <w:color w:val="1F2937"/>
          <w:sz w:val="21"/>
        </w:rPr>
        <w:t>操作入口：</w:t>
      </w:r>
      <w:r>
        <w:rPr>
          <w:rFonts w:ascii="微软雅黑" w:hAnsi="微软雅黑" w:eastAsia="微软雅黑"/>
          <w:color w:val="B45309"/>
          <w:sz w:val="19"/>
          <w:shd w:val="clear" w:color="auto" w:fill="FFF7ED"/>
        </w:rPr>
        <w:t>点击左侧菜单“表单管理中心” → “创建表单”。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选择启用的表单模板。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若从项目或节点进入，确认关联对象正确。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点击开始填写。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按步骤录入字段并上传附件。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可先保存草稿，或填写完成后提交。</w:t>
      </w:r>
    </w:p>
    <w:p>
      <w:pPr>
        <w:pStyle w:val="4"/>
        <w:keepNext/>
        <w:keepLines/>
      </w:pPr>
      <w:bookmarkStart w:id="110" w:name="_Toc31429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20.2 草稿</w:t>
      </w:r>
      <w:bookmarkEnd w:id="110"/>
    </w:p>
    <w:p>
      <w:pPr>
        <w:spacing w:before="40" w:after="140"/>
      </w:pPr>
      <w:r>
        <w:rPr>
          <w:rFonts w:ascii="微软雅黑" w:hAnsi="微软雅黑" w:eastAsia="微软雅黑"/>
          <w:b/>
          <w:color w:val="1F2937"/>
          <w:sz w:val="21"/>
        </w:rPr>
        <w:t>操作入口：</w:t>
      </w:r>
      <w:r>
        <w:rPr>
          <w:rFonts w:ascii="微软雅黑" w:hAnsi="微软雅黑" w:eastAsia="微软雅黑"/>
          <w:color w:val="B45309"/>
          <w:sz w:val="19"/>
          <w:shd w:val="clear" w:color="auto" w:fill="FFF7ED"/>
        </w:rPr>
        <w:t>点击左侧菜单“表单管理中心” → “我的表单草稿”；也可从“个人工作台”的草稿卡片进入。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点击编辑图标继续填写；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删除只适用于不再需要的草稿；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草稿未进入审批流程，不代表业务已提交。</w:t>
      </w:r>
    </w:p>
    <w:p>
      <w:pPr>
        <w:pStyle w:val="4"/>
        <w:keepNext/>
        <w:keepLines/>
      </w:pPr>
      <w:bookmarkStart w:id="111" w:name="_Toc11973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20.3 我的提交</w:t>
      </w:r>
      <w:bookmarkEnd w:id="111"/>
    </w:p>
    <w:p>
      <w:pPr>
        <w:spacing w:before="40" w:after="140"/>
      </w:pPr>
      <w:r>
        <w:rPr>
          <w:rFonts w:ascii="微软雅黑" w:hAnsi="微软雅黑" w:eastAsia="微软雅黑"/>
          <w:b/>
          <w:color w:val="1F2937"/>
          <w:sz w:val="21"/>
        </w:rPr>
        <w:t>操作入口：</w:t>
      </w:r>
      <w:r>
        <w:rPr>
          <w:rFonts w:ascii="微软雅黑" w:hAnsi="微软雅黑" w:eastAsia="微软雅黑"/>
          <w:color w:val="B45309"/>
          <w:sz w:val="19"/>
          <w:shd w:val="clear" w:color="auto" w:fill="FFF7ED"/>
        </w:rPr>
        <w:t>点击左侧菜单“表单管理中心” → “我的表单提交”；也可从“个人工作台”的提交记录卡片进入。</w:t>
      </w:r>
    </w:p>
    <w:p>
      <w:r>
        <w:rPr>
          <w:rFonts w:ascii="微软雅黑" w:hAnsi="微软雅黑" w:eastAsia="微软雅黑"/>
          <w:color w:val="1F2937"/>
          <w:sz w:val="21"/>
        </w:rPr>
        <w:t>查看已提交表单、当前状态、审批进度和提交时间。点击“查看详情”可查看表单、流程图、附件和审批意见。</w:t>
      </w:r>
    </w:p>
    <w:p>
      <w:pPr>
        <w:pStyle w:val="4"/>
        <w:keepNext/>
        <w:keepLines/>
      </w:pPr>
      <w:bookmarkStart w:id="112" w:name="_Toc30733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20.4 分步表单</w:t>
      </w:r>
      <w:bookmarkEnd w:id="112"/>
    </w:p>
    <w:p>
      <w:r>
        <w:rPr>
          <w:rFonts w:ascii="微软雅黑" w:hAnsi="微软雅黑" w:eastAsia="微软雅黑"/>
          <w:color w:val="1F2937"/>
          <w:sz w:val="21"/>
        </w:rPr>
        <w:t>表单可能按多个步骤分配给不同填写人或审批人：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发起人提交时只编辑和校验自己负责的步骤；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审批人可以查看完整表单，但通常只能编辑当前步骤字段；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退回后，发起人或前序处理人按退回目标修订；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后一步填写的共享字段可能覆盖前一步内容，应遵守模板设计要求。</w:t>
      </w:r>
    </w:p>
    <w:p>
      <w:pPr>
        <w:pStyle w:val="4"/>
        <w:keepNext/>
        <w:keepLines/>
      </w:pPr>
      <w:bookmarkStart w:id="113" w:name="_Toc3152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20.5 审批操作</w:t>
      </w:r>
      <w:bookmarkEnd w:id="113"/>
    </w:p>
    <w:p>
      <w:r>
        <w:rPr>
          <w:rFonts w:ascii="微软雅黑" w:hAnsi="微软雅黑" w:eastAsia="微软雅黑"/>
          <w:color w:val="1F2937"/>
          <w:sz w:val="21"/>
        </w:rPr>
        <w:t>在表单详情底部，当前审批人可能看到：</w:t>
      </w:r>
    </w:p>
    <w:p>
      <w:pPr>
        <w:pStyle w:val="16"/>
      </w:pPr>
      <w:r>
        <w:rPr>
          <w:rFonts w:ascii="微软雅黑" w:hAnsi="微软雅黑" w:eastAsia="微软雅黑"/>
          <w:b/>
          <w:color w:val="1F2937"/>
          <w:sz w:val="21"/>
        </w:rPr>
        <w:t>通过</w:t>
      </w:r>
      <w:r>
        <w:rPr>
          <w:rFonts w:ascii="微软雅黑" w:hAnsi="微软雅黑" w:eastAsia="微软雅黑"/>
          <w:color w:val="1F2937"/>
          <w:sz w:val="21"/>
        </w:rPr>
        <w:t>：同意并推进下一节点；</w:t>
      </w:r>
    </w:p>
    <w:p>
      <w:pPr>
        <w:pStyle w:val="16"/>
      </w:pPr>
      <w:r>
        <w:rPr>
          <w:rFonts w:ascii="微软雅黑" w:hAnsi="微软雅黑" w:eastAsia="微软雅黑"/>
          <w:b/>
          <w:color w:val="1F2937"/>
          <w:sz w:val="21"/>
        </w:rPr>
        <w:t>驳回</w:t>
      </w:r>
      <w:r>
        <w:rPr>
          <w:rFonts w:ascii="微软雅黑" w:hAnsi="微软雅黑" w:eastAsia="微软雅黑"/>
          <w:color w:val="1F2937"/>
          <w:sz w:val="21"/>
        </w:rPr>
        <w:t>：拒绝并结束流程，通常需填写意见；</w:t>
      </w:r>
    </w:p>
    <w:p>
      <w:pPr>
        <w:pStyle w:val="16"/>
      </w:pPr>
      <w:r>
        <w:rPr>
          <w:rFonts w:ascii="微软雅黑" w:hAnsi="微软雅黑" w:eastAsia="微软雅黑"/>
          <w:b/>
          <w:color w:val="1F2937"/>
          <w:sz w:val="21"/>
        </w:rPr>
        <w:t>移交</w:t>
      </w:r>
      <w:r>
        <w:rPr>
          <w:rFonts w:ascii="微软雅黑" w:hAnsi="微软雅黑" w:eastAsia="微软雅黑"/>
          <w:color w:val="1F2937"/>
          <w:sz w:val="21"/>
        </w:rPr>
        <w:t>：将当前任务转给其他用户；</w:t>
      </w:r>
    </w:p>
    <w:p>
      <w:pPr>
        <w:pStyle w:val="16"/>
      </w:pPr>
      <w:r>
        <w:rPr>
          <w:rFonts w:ascii="微软雅黑" w:hAnsi="微软雅黑" w:eastAsia="微软雅黑"/>
          <w:b/>
          <w:color w:val="1F2937"/>
          <w:sz w:val="21"/>
        </w:rPr>
        <w:t>退回</w:t>
      </w:r>
      <w:r>
        <w:rPr>
          <w:rFonts w:ascii="微软雅黑" w:hAnsi="微软雅黑" w:eastAsia="微软雅黑"/>
          <w:color w:val="1F2937"/>
          <w:sz w:val="21"/>
        </w:rPr>
        <w:t>：退回前序节点或发起人，必须填写原因。</w:t>
      </w:r>
    </w:p>
    <w:p>
      <w:pPr>
        <w:pStyle w:val="4"/>
        <w:keepNext/>
        <w:keepLines/>
      </w:pPr>
      <w:bookmarkStart w:id="114" w:name="_Toc24424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20.6 表单模板管理</w:t>
      </w:r>
      <w:bookmarkEnd w:id="114"/>
    </w:p>
    <w:p>
      <w:pPr>
        <w:spacing w:before="40" w:after="140"/>
      </w:pPr>
      <w:r>
        <w:rPr>
          <w:rFonts w:ascii="微软雅黑" w:hAnsi="微软雅黑" w:eastAsia="微软雅黑"/>
          <w:b/>
          <w:color w:val="1F2937"/>
          <w:sz w:val="21"/>
        </w:rPr>
        <w:t>操作入口：</w:t>
      </w:r>
      <w:r>
        <w:rPr>
          <w:rFonts w:ascii="微软雅黑" w:hAnsi="微软雅黑" w:eastAsia="微软雅黑"/>
          <w:color w:val="B45309"/>
          <w:sz w:val="19"/>
          <w:shd w:val="clear" w:color="auto" w:fill="FFF7ED"/>
        </w:rPr>
        <w:t>点击左侧菜单“表单管理中心” → “表单模板管理”。</w:t>
      </w:r>
    </w:p>
    <w:p>
      <w:r>
        <w:rPr>
          <w:rFonts w:ascii="微软雅黑" w:hAnsi="微软雅黑" w:eastAsia="微软雅黑"/>
          <w:color w:val="1F2937"/>
          <w:sz w:val="21"/>
        </w:rPr>
        <w:t>有模板管理权限的用户可创建、编辑、启用、停用和删除模板，并配置：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模板名称、分组和说明；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表单业务编码规则；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字段类型、默认值和校验规则；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字段所属步骤；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关联审批流程；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可关联的业务对象。</w:t>
      </w:r>
    </w:p>
    <w:p>
      <w:r>
        <w:rPr>
          <w:rFonts w:ascii="微软雅黑" w:hAnsi="微软雅黑" w:eastAsia="微软雅黑"/>
          <w:color w:val="1F2937"/>
          <w:sz w:val="21"/>
        </w:rPr>
        <w:t>修改已投入使用的模板前，应确认是否影响现有草稿和在途审批。删除模板可能使历史数据失去正常入口，优先考虑停用。</w:t>
      </w:r>
    </w:p>
    <w:p>
      <w:pPr>
        <w:pBdr>
          <w:bottom w:val="single" w:color="CBD5E1" w:sz="8" w:space="1"/>
        </w:pBdr>
        <w:spacing w:after="100"/>
      </w:pPr>
    </w:p>
    <w:p>
      <w:pPr>
        <w:pStyle w:val="3"/>
        <w:keepNext/>
        <w:keepLines/>
        <w:pBdr>
          <w:bottom w:val="single" w:color="2563EB" w:sz="12" w:space="1"/>
        </w:pBdr>
      </w:pPr>
      <w:bookmarkStart w:id="115" w:name="_Toc21996"/>
      <w:r>
        <w:rPr>
          <w:rFonts w:ascii="微软雅黑" w:hAnsi="微软雅黑" w:eastAsia="微软雅黑"/>
          <w:b/>
          <w:i w:val="0"/>
          <w:color w:val="2563EB"/>
          <w:sz w:val="36"/>
          <w:u w:val="none"/>
        </w:rPr>
        <w:t>21. 流程审批中心</w:t>
      </w:r>
      <w:bookmarkEnd w:id="115"/>
    </w:p>
    <w:p>
      <w:pPr>
        <w:pStyle w:val="4"/>
        <w:keepNext/>
        <w:keepLines/>
      </w:pPr>
      <w:bookmarkStart w:id="116" w:name="_Toc1194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21.1 我的待办</w:t>
      </w:r>
      <w:bookmarkEnd w:id="116"/>
    </w:p>
    <w:p>
      <w:pPr>
        <w:spacing w:before="40" w:after="140"/>
      </w:pPr>
      <w:r>
        <w:rPr>
          <w:rFonts w:ascii="微软雅黑" w:hAnsi="微软雅黑" w:eastAsia="微软雅黑"/>
          <w:b/>
          <w:color w:val="1F2937"/>
          <w:sz w:val="21"/>
        </w:rPr>
        <w:t>操作入口：</w:t>
      </w:r>
      <w:r>
        <w:rPr>
          <w:rFonts w:ascii="微软雅黑" w:hAnsi="微软雅黑" w:eastAsia="微软雅黑"/>
          <w:color w:val="B45309"/>
          <w:sz w:val="19"/>
          <w:shd w:val="clear" w:color="auto" w:fill="FFF7ED"/>
        </w:rPr>
        <w:t>点击左侧菜单“流程审批中心” → “我的待办任务”；也可从“个人工作台”的待办任务卡片进入。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打开待办任务。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查看关联业务对象、发起人、表单/项目内容和历史意见。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填写审批意见。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选择通过、驳回、退回、签收或转交。</w:t>
      </w:r>
    </w:p>
    <w:p>
      <w:r>
        <w:rPr>
          <w:rFonts w:ascii="微软雅黑" w:hAnsi="微软雅黑" w:eastAsia="微软雅黑"/>
          <w:color w:val="1F2937"/>
          <w:sz w:val="21"/>
        </w:rPr>
        <w:t>候选组任务可能显示“待签收”。候选人需先点击“签收”，成为负责人后才能审批。</w:t>
      </w:r>
    </w:p>
    <w:p>
      <w:pPr>
        <w:pStyle w:val="4"/>
        <w:keepNext/>
        <w:keepLines/>
      </w:pPr>
      <w:bookmarkStart w:id="117" w:name="_Toc23680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21.2 我的已办</w:t>
      </w:r>
      <w:bookmarkEnd w:id="117"/>
    </w:p>
    <w:p>
      <w:pPr>
        <w:spacing w:before="40" w:after="140"/>
      </w:pPr>
      <w:r>
        <w:rPr>
          <w:rFonts w:ascii="微软雅黑" w:hAnsi="微软雅黑" w:eastAsia="微软雅黑"/>
          <w:b/>
          <w:color w:val="1F2937"/>
          <w:sz w:val="21"/>
        </w:rPr>
        <w:t>操作入口：</w:t>
      </w:r>
      <w:r>
        <w:rPr>
          <w:rFonts w:ascii="微软雅黑" w:hAnsi="微软雅黑" w:eastAsia="微软雅黑"/>
          <w:color w:val="B45309"/>
          <w:sz w:val="19"/>
          <w:shd w:val="clear" w:color="auto" w:fill="FFF7ED"/>
        </w:rPr>
        <w:t>点击左侧菜单“流程审批中心” → “我的已办任务”。</w:t>
      </w:r>
    </w:p>
    <w:p>
      <w:r>
        <w:rPr>
          <w:rFonts w:ascii="微软雅黑" w:hAnsi="微软雅黑" w:eastAsia="微软雅黑"/>
          <w:color w:val="1F2937"/>
          <w:sz w:val="21"/>
        </w:rPr>
        <w:t>查看已处理任务、处理结果和完成时间。点击详情可回溯完整审批历史。</w:t>
      </w:r>
    </w:p>
    <w:p>
      <w:pPr>
        <w:pStyle w:val="4"/>
        <w:keepNext/>
        <w:keepLines/>
      </w:pPr>
      <w:bookmarkStart w:id="118" w:name="_Toc6138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21.3 我发起的流程</w:t>
      </w:r>
      <w:bookmarkEnd w:id="118"/>
    </w:p>
    <w:p>
      <w:pPr>
        <w:spacing w:before="40" w:after="140"/>
      </w:pPr>
      <w:r>
        <w:rPr>
          <w:rFonts w:ascii="微软雅黑" w:hAnsi="微软雅黑" w:eastAsia="微软雅黑"/>
          <w:b/>
          <w:color w:val="1F2937"/>
          <w:sz w:val="21"/>
        </w:rPr>
        <w:t>操作入口：</w:t>
      </w:r>
      <w:r>
        <w:rPr>
          <w:rFonts w:ascii="微软雅黑" w:hAnsi="微软雅黑" w:eastAsia="微软雅黑"/>
          <w:color w:val="B45309"/>
          <w:sz w:val="19"/>
          <w:shd w:val="clear" w:color="auto" w:fill="FFF7ED"/>
        </w:rPr>
        <w:t>点击左侧菜单“流程审批中心” → “我发起的流程”。</w:t>
      </w:r>
    </w:p>
    <w:p>
      <w:r>
        <w:rPr>
          <w:rFonts w:ascii="微软雅黑" w:hAnsi="微软雅黑" w:eastAsia="微软雅黑"/>
          <w:color w:val="1F2937"/>
          <w:sz w:val="21"/>
        </w:rPr>
        <w:t>查看流程状态、当前审批人和发起时间。发起人可在允许条件下取消仍在运行的流程，并填写取消原因。</w:t>
      </w:r>
    </w:p>
    <w:p>
      <w:pPr>
        <w:pStyle w:val="4"/>
        <w:keepNext/>
        <w:keepLines/>
      </w:pPr>
      <w:bookmarkStart w:id="119" w:name="_Toc3855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21.4 流程状态</w:t>
      </w:r>
      <w:bookmarkEnd w:id="119"/>
    </w:p>
    <w:p>
      <w:pPr>
        <w:pStyle w:val="16"/>
      </w:pPr>
      <w:r>
        <w:rPr>
          <w:rFonts w:ascii="微软雅黑" w:hAnsi="微软雅黑" w:eastAsia="微软雅黑"/>
          <w:b/>
          <w:color w:val="1F2937"/>
          <w:sz w:val="21"/>
        </w:rPr>
        <w:t>运行中</w:t>
      </w:r>
      <w:r>
        <w:rPr>
          <w:rFonts w:ascii="微软雅黑" w:hAnsi="微软雅黑" w:eastAsia="微软雅黑"/>
          <w:color w:val="1F2937"/>
          <w:sz w:val="21"/>
        </w:rPr>
        <w:t>：仍有待办任务；</w:t>
      </w:r>
    </w:p>
    <w:p>
      <w:pPr>
        <w:pStyle w:val="16"/>
      </w:pPr>
      <w:r>
        <w:rPr>
          <w:rFonts w:ascii="微软雅黑" w:hAnsi="微软雅黑" w:eastAsia="微软雅黑"/>
          <w:b/>
          <w:color w:val="1F2937"/>
          <w:sz w:val="21"/>
        </w:rPr>
        <w:t>已完成</w:t>
      </w:r>
      <w:r>
        <w:rPr>
          <w:rFonts w:ascii="微软雅黑" w:hAnsi="微软雅黑" w:eastAsia="微软雅黑"/>
          <w:color w:val="1F2937"/>
          <w:sz w:val="21"/>
        </w:rPr>
        <w:t>：全部审批通过并执行了业务回调；</w:t>
      </w:r>
    </w:p>
    <w:p>
      <w:pPr>
        <w:pStyle w:val="16"/>
      </w:pPr>
      <w:r>
        <w:rPr>
          <w:rFonts w:ascii="微软雅黑" w:hAnsi="微软雅黑" w:eastAsia="微软雅黑"/>
          <w:b/>
          <w:color w:val="1F2937"/>
          <w:sz w:val="21"/>
        </w:rPr>
        <w:t>已驳回</w:t>
      </w:r>
      <w:r>
        <w:rPr>
          <w:rFonts w:ascii="微软雅黑" w:hAnsi="微软雅黑" w:eastAsia="微软雅黑"/>
          <w:color w:val="1F2937"/>
          <w:sz w:val="21"/>
        </w:rPr>
        <w:t>：审批人拒绝，业务对象通常回退；</w:t>
      </w:r>
    </w:p>
    <w:p>
      <w:pPr>
        <w:pStyle w:val="16"/>
      </w:pPr>
      <w:r>
        <w:rPr>
          <w:rFonts w:ascii="微软雅黑" w:hAnsi="微软雅黑" w:eastAsia="微软雅黑"/>
          <w:b/>
          <w:color w:val="1F2937"/>
          <w:sz w:val="21"/>
        </w:rPr>
        <w:t>已取消</w:t>
      </w:r>
      <w:r>
        <w:rPr>
          <w:rFonts w:ascii="微软雅黑" w:hAnsi="微软雅黑" w:eastAsia="微软雅黑"/>
          <w:color w:val="1F2937"/>
          <w:sz w:val="21"/>
        </w:rPr>
        <w:t>：发起人或授权用户取消，业务对象恢复到可处理状态。</w:t>
      </w:r>
    </w:p>
    <w:p>
      <w:pPr>
        <w:pStyle w:val="4"/>
        <w:keepNext/>
        <w:keepLines/>
      </w:pPr>
      <w:bookmarkStart w:id="120" w:name="_Toc5624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21.5 流程定义管理</w:t>
      </w:r>
      <w:bookmarkEnd w:id="120"/>
    </w:p>
    <w:p>
      <w:pPr>
        <w:spacing w:before="40" w:after="140"/>
      </w:pPr>
      <w:r>
        <w:rPr>
          <w:rFonts w:ascii="微软雅黑" w:hAnsi="微软雅黑" w:eastAsia="微软雅黑"/>
          <w:b/>
          <w:color w:val="1F2937"/>
          <w:sz w:val="21"/>
        </w:rPr>
        <w:t>操作入口：</w:t>
      </w:r>
      <w:r>
        <w:rPr>
          <w:rFonts w:ascii="微软雅黑" w:hAnsi="微软雅黑" w:eastAsia="微软雅黑"/>
          <w:color w:val="B45309"/>
          <w:sz w:val="19"/>
          <w:shd w:val="clear" w:color="auto" w:fill="FFF7ED"/>
        </w:rPr>
        <w:t>点击左侧菜单“流程审批中心” → “流程定义管理”。</w:t>
      </w:r>
    </w:p>
    <w:p>
      <w:r>
        <w:rPr>
          <w:rFonts w:ascii="微软雅黑" w:hAnsi="微软雅黑" w:eastAsia="微软雅黑"/>
          <w:color w:val="1F2937"/>
          <w:sz w:val="21"/>
        </w:rPr>
        <w:t>仅流程管理员使用。可创建、编辑、启用/停用或删除 BPMN 流程定义。</w:t>
      </w:r>
    </w:p>
    <w:p>
      <w:r>
        <w:rPr>
          <w:rFonts w:ascii="微软雅黑" w:hAnsi="微软雅黑" w:eastAsia="微软雅黑"/>
          <w:color w:val="1F2937"/>
          <w:sz w:val="21"/>
        </w:rPr>
        <w:t>注意：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未标记为可执行的 BPMN 不能正常启动；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用户任务 ID 必须与审批人配置一致；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有运行中实例的流程定义通常不能删除；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修改定义只应由了解 BPMN 和审批组织配置的管理员执行。</w:t>
      </w:r>
    </w:p>
    <w:p>
      <w:pPr>
        <w:pBdr>
          <w:bottom w:val="single" w:color="CBD5E1" w:sz="8" w:space="1"/>
        </w:pBdr>
        <w:spacing w:after="100"/>
      </w:pPr>
    </w:p>
    <w:p>
      <w:pPr>
        <w:pStyle w:val="3"/>
        <w:keepNext/>
        <w:keepLines/>
        <w:pBdr>
          <w:bottom w:val="single" w:color="2563EB" w:sz="12" w:space="1"/>
        </w:pBdr>
      </w:pPr>
      <w:bookmarkStart w:id="121" w:name="_Toc17074"/>
      <w:r>
        <w:rPr>
          <w:rFonts w:ascii="微软雅黑" w:hAnsi="微软雅黑" w:eastAsia="微软雅黑"/>
          <w:b/>
          <w:i w:val="0"/>
          <w:color w:val="2563EB"/>
          <w:sz w:val="36"/>
          <w:u w:val="none"/>
        </w:rPr>
        <w:t>22. 产品电子手册</w:t>
      </w:r>
      <w:bookmarkEnd w:id="121"/>
    </w:p>
    <w:p>
      <w:pPr>
        <w:spacing w:before="40" w:after="140"/>
      </w:pPr>
      <w:r>
        <w:rPr>
          <w:rFonts w:ascii="微软雅黑" w:hAnsi="微软雅黑" w:eastAsia="微软雅黑"/>
          <w:b/>
          <w:color w:val="1F2937"/>
          <w:sz w:val="21"/>
        </w:rPr>
        <w:t>操作入口：</w:t>
      </w:r>
      <w:r>
        <w:rPr>
          <w:rFonts w:ascii="微软雅黑" w:hAnsi="微软雅黑" w:eastAsia="微软雅黑"/>
          <w:color w:val="B45309"/>
          <w:sz w:val="19"/>
          <w:shd w:val="clear" w:color="auto" w:fill="FFF7ED"/>
        </w:rPr>
        <w:t>从管理员提供的电子手册入口打开产品目录；该入口独立于内部管理后台。</w:t>
      </w:r>
    </w:p>
    <w:p>
      <w:r>
        <w:rPr>
          <w:rFonts w:ascii="微软雅黑" w:hAnsi="微软雅黑" w:eastAsia="微软雅黑"/>
          <w:color w:val="1F2937"/>
          <w:sz w:val="21"/>
        </w:rPr>
        <w:t>电子手册面向客户或会员，独立于内部管理后台。</w:t>
      </w:r>
    </w:p>
    <w:p>
      <w:pPr>
        <w:pStyle w:val="4"/>
        <w:keepNext/>
        <w:keepLines/>
      </w:pPr>
      <w:bookmarkStart w:id="122" w:name="_Toc9812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22.1 公开浏览</w:t>
      </w:r>
      <w:bookmarkEnd w:id="122"/>
    </w:p>
    <w:p>
      <w:r>
        <w:rPr>
          <w:rFonts w:ascii="微软雅黑" w:hAnsi="微软雅黑" w:eastAsia="微软雅黑"/>
          <w:color w:val="1F2937"/>
          <w:sz w:val="21"/>
        </w:rPr>
        <w:t>未登录用户可：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按应用场景、材料类型和特征浏览；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输入关键词搜索；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查看产品基础介绍。</w:t>
      </w:r>
    </w:p>
    <w:p>
      <w:pPr>
        <w:pStyle w:val="4"/>
        <w:keepNext/>
        <w:keepLines/>
      </w:pPr>
      <w:bookmarkStart w:id="123" w:name="_Toc29554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22.2 会员登录</w:t>
      </w:r>
      <w:bookmarkEnd w:id="123"/>
    </w:p>
    <w:p>
      <w:pPr>
        <w:spacing w:before="40" w:after="140"/>
      </w:pPr>
      <w:r>
        <w:rPr>
          <w:rFonts w:ascii="微软雅黑" w:hAnsi="微软雅黑" w:eastAsia="微软雅黑"/>
          <w:b/>
          <w:color w:val="1F2937"/>
          <w:sz w:val="21"/>
        </w:rPr>
        <w:t>操作入口：</w:t>
      </w:r>
      <w:r>
        <w:rPr>
          <w:rFonts w:ascii="微软雅黑" w:hAnsi="微软雅黑" w:eastAsia="微软雅黑"/>
          <w:color w:val="B45309"/>
          <w:sz w:val="19"/>
          <w:shd w:val="clear" w:color="auto" w:fill="FFF7ED"/>
        </w:rPr>
        <w:t>在产品电子手册页面点击“会员登录/登录”。</w:t>
      </w:r>
    </w:p>
    <w:p>
      <w:r>
        <w:rPr>
          <w:rFonts w:ascii="微软雅黑" w:hAnsi="微软雅黑" w:eastAsia="微软雅黑"/>
          <w:color w:val="1F2937"/>
          <w:sz w:val="21"/>
        </w:rPr>
        <w:t>使用会员邮箱和密码登录。登录后可查看受保护的物性数值和文档。</w:t>
      </w:r>
    </w:p>
    <w:p>
      <w:pPr>
        <w:pStyle w:val="4"/>
        <w:keepNext/>
        <w:keepLines/>
      </w:pPr>
      <w:bookmarkStart w:id="124" w:name="_Toc17339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22.3 产品详情与下载</w:t>
      </w:r>
      <w:bookmarkEnd w:id="124"/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在目录中点击产品。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查看材料说明和开放信息。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登录后查看完整物性数据。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点击相应文件下载 TDS/SDS 等资料。</w:t>
      </w:r>
    </w:p>
    <w:p>
      <w:r>
        <w:rPr>
          <w:rFonts w:ascii="微软雅黑" w:hAnsi="微软雅黑" w:eastAsia="微软雅黑"/>
          <w:color w:val="1F2937"/>
          <w:sz w:val="21"/>
        </w:rPr>
        <w:t>系统会记录会员的浏览和下载行为，用于客户行为分析。若主系统接口不可用，页面会提示暂时无法加载或下载，请稍后再试。</w:t>
      </w:r>
    </w:p>
    <w:p>
      <w:pPr>
        <w:pBdr>
          <w:bottom w:val="single" w:color="CBD5E1" w:sz="8" w:space="1"/>
        </w:pBdr>
        <w:spacing w:after="100"/>
      </w:pPr>
    </w:p>
    <w:p>
      <w:pPr>
        <w:pStyle w:val="3"/>
        <w:keepNext/>
        <w:keepLines/>
        <w:pBdr>
          <w:bottom w:val="single" w:color="2563EB" w:sz="12" w:space="1"/>
        </w:pBdr>
      </w:pPr>
      <w:bookmarkStart w:id="125" w:name="_Toc3302"/>
      <w:r>
        <w:rPr>
          <w:rFonts w:ascii="微软雅黑" w:hAnsi="微软雅黑" w:eastAsia="微软雅黑"/>
          <w:b/>
          <w:i w:val="0"/>
          <w:color w:val="2563EB"/>
          <w:sz w:val="36"/>
          <w:u w:val="none"/>
        </w:rPr>
        <w:t>23. 通知与个人中心</w:t>
      </w:r>
      <w:bookmarkEnd w:id="125"/>
    </w:p>
    <w:p>
      <w:pPr>
        <w:pStyle w:val="4"/>
        <w:keepNext/>
        <w:keepLines/>
      </w:pPr>
      <w:bookmarkStart w:id="126" w:name="_Toc8324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23.1 通知</w:t>
      </w:r>
      <w:bookmarkEnd w:id="126"/>
    </w:p>
    <w:p>
      <w:r>
        <w:rPr>
          <w:rFonts w:ascii="微软雅黑" w:hAnsi="微软雅黑" w:eastAsia="微软雅黑"/>
          <w:color w:val="1F2937"/>
          <w:sz w:val="21"/>
        </w:rPr>
        <w:t>点击右上角铃铛查看最近未读消息。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点击某条消息：标记为已读并跳转到相关业务页面；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点击“全部标记为已读”：清除当前账号全部未读标记；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点击“查看所有消息”：进入完整消息列表，每页显示 20 条。</w:t>
      </w:r>
    </w:p>
    <w:p>
      <w:r>
        <w:rPr>
          <w:rFonts w:ascii="微软雅黑" w:hAnsi="微软雅黑" w:eastAsia="微软雅黑"/>
          <w:color w:val="1F2937"/>
          <w:sz w:val="21"/>
        </w:rPr>
        <w:t>通知按账号隔离，只能查看自己的消息。</w:t>
      </w:r>
    </w:p>
    <w:p>
      <w:pPr>
        <w:pStyle w:val="4"/>
        <w:keepNext/>
        <w:keepLines/>
      </w:pPr>
      <w:bookmarkStart w:id="127" w:name="_Toc188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23.2 个人中心</w:t>
      </w:r>
      <w:bookmarkEnd w:id="127"/>
    </w:p>
    <w:p>
      <w:pPr>
        <w:spacing w:before="40" w:after="140"/>
      </w:pPr>
      <w:r>
        <w:rPr>
          <w:rFonts w:ascii="微软雅黑" w:hAnsi="微软雅黑" w:eastAsia="微软雅黑"/>
          <w:b/>
          <w:color w:val="1F2937"/>
          <w:sz w:val="21"/>
        </w:rPr>
        <w:t>操作入口：</w:t>
      </w:r>
      <w:r>
        <w:rPr>
          <w:rFonts w:ascii="微软雅黑" w:hAnsi="微软雅黑" w:eastAsia="微软雅黑"/>
          <w:color w:val="B45309"/>
          <w:sz w:val="19"/>
          <w:shd w:val="clear" w:color="auto" w:fill="FFF7ED"/>
        </w:rPr>
        <w:t>点击页面右上角头像/用户名 → “个人中心”。</w:t>
      </w:r>
    </w:p>
    <w:p>
      <w:r>
        <w:rPr>
          <w:rFonts w:ascii="微软雅黑" w:hAnsi="微软雅黑" w:eastAsia="微软雅黑"/>
          <w:color w:val="1F2937"/>
          <w:sz w:val="21"/>
        </w:rPr>
        <w:t>可查看：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用户名、姓名、邮箱和手机号；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部门、子公司/基地和职位；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业务角色、用户组和工作组；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关联客户或主机厂；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地址和个人备注。</w:t>
      </w:r>
    </w:p>
    <w:p>
      <w:r>
        <w:rPr>
          <w:rFonts w:ascii="微软雅黑" w:hAnsi="微软雅黑" w:eastAsia="微软雅黑"/>
          <w:color w:val="1F2937"/>
          <w:sz w:val="21"/>
        </w:rPr>
        <w:t>这些资料大多由管理员维护。发现错误时请联系管理员修改。</w:t>
      </w:r>
    </w:p>
    <w:p>
      <w:pPr>
        <w:pStyle w:val="4"/>
        <w:keepNext/>
        <w:keepLines/>
      </w:pPr>
      <w:bookmarkStart w:id="128" w:name="_Toc5517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23.3 修改密码</w:t>
      </w:r>
      <w:bookmarkEnd w:id="128"/>
    </w:p>
    <w:p>
      <w:pPr>
        <w:spacing w:before="40" w:after="140"/>
      </w:pPr>
      <w:r>
        <w:rPr>
          <w:rFonts w:ascii="微软雅黑" w:hAnsi="微软雅黑" w:eastAsia="微软雅黑"/>
          <w:b/>
          <w:color w:val="1F2937"/>
          <w:sz w:val="21"/>
        </w:rPr>
        <w:t>操作入口：</w:t>
      </w:r>
      <w:r>
        <w:rPr>
          <w:rFonts w:ascii="微软雅黑" w:hAnsi="微软雅黑" w:eastAsia="微软雅黑"/>
          <w:color w:val="B45309"/>
          <w:sz w:val="19"/>
          <w:shd w:val="clear" w:color="auto" w:fill="FFF7ED"/>
        </w:rPr>
        <w:t>点击页面右上角头像/用户名 → “个人中心” → 页面右上角“修改密码”。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输入旧密码。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输入新密码和确认密码。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输入图形验证码。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提交。</w:t>
      </w:r>
    </w:p>
    <w:p>
      <w:r>
        <w:rPr>
          <w:rFonts w:ascii="微软雅黑" w:hAnsi="微软雅黑" w:eastAsia="微软雅黑"/>
          <w:color w:val="1F2937"/>
          <w:sz w:val="21"/>
        </w:rPr>
        <w:t>新密码不能与旧密码相同，两次输入必须一致。修改成功后系统会保持当前登录会话有效。</w:t>
      </w:r>
    </w:p>
    <w:p>
      <w:pPr>
        <w:pStyle w:val="4"/>
        <w:keepNext/>
        <w:keepLines/>
      </w:pPr>
      <w:bookmarkStart w:id="129" w:name="_Toc25242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23.4 退出登录</w:t>
      </w:r>
      <w:bookmarkEnd w:id="129"/>
    </w:p>
    <w:p>
      <w:r>
        <w:rPr>
          <w:rFonts w:ascii="微软雅黑" w:hAnsi="微软雅黑" w:eastAsia="微软雅黑"/>
          <w:color w:val="1F2937"/>
          <w:sz w:val="21"/>
        </w:rPr>
        <w:t>点击右上角用户菜单中的“退出登录”。使用公共电脑时必须主动退出。</w:t>
      </w:r>
    </w:p>
    <w:p>
      <w:pPr>
        <w:pBdr>
          <w:bottom w:val="single" w:color="CBD5E1" w:sz="8" w:space="1"/>
        </w:pBdr>
        <w:spacing w:after="100"/>
      </w:pPr>
    </w:p>
    <w:p>
      <w:pPr>
        <w:pStyle w:val="3"/>
        <w:keepNext/>
        <w:keepLines/>
        <w:pBdr>
          <w:bottom w:val="single" w:color="2563EB" w:sz="12" w:space="1"/>
        </w:pBdr>
      </w:pPr>
      <w:bookmarkStart w:id="130" w:name="_Toc5408"/>
      <w:r>
        <w:rPr>
          <w:rFonts w:ascii="微软雅黑" w:hAnsi="微软雅黑" w:eastAsia="微软雅黑"/>
          <w:b/>
          <w:i w:val="0"/>
          <w:color w:val="2563EB"/>
          <w:sz w:val="36"/>
          <w:u w:val="none"/>
        </w:rPr>
        <w:t>24. 系统管理</w:t>
      </w:r>
      <w:bookmarkEnd w:id="130"/>
    </w:p>
    <w:p>
      <w:r>
        <w:rPr>
          <w:rFonts w:ascii="微软雅黑" w:hAnsi="微软雅黑" w:eastAsia="微软雅黑"/>
          <w:color w:val="1F2937"/>
          <w:sz w:val="21"/>
        </w:rPr>
        <w:t>系统管理入口只对超级管理员或授权管理员显示。</w:t>
      </w:r>
    </w:p>
    <w:p>
      <w:pPr>
        <w:pStyle w:val="4"/>
        <w:keepNext/>
        <w:keepLines/>
      </w:pPr>
      <w:bookmarkStart w:id="131" w:name="_Toc15355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24.1 常用配置</w:t>
      </w:r>
      <w:bookmarkEnd w:id="131"/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项目全局配置；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排产配置；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项目等级因子；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用户、角色、部门、工作组和子公司；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模块准入和菜单；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审批组织角色、审核组和任务节点配置；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原材料价格、SAP 工厂和库存数据；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业务基础字典。</w:t>
      </w:r>
    </w:p>
    <w:p>
      <w:pPr>
        <w:pStyle w:val="4"/>
        <w:keepNext/>
        <w:keepLines/>
      </w:pPr>
      <w:bookmarkStart w:id="132" w:name="_Toc10710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24.2 新用户授权建议</w:t>
      </w:r>
      <w:bookmarkEnd w:id="132"/>
    </w:p>
    <w:p>
      <w:r>
        <w:rPr>
          <w:rFonts w:ascii="微软雅黑" w:hAnsi="微软雅黑" w:eastAsia="微软雅黑"/>
          <w:color w:val="1F2937"/>
          <w:sz w:val="21"/>
        </w:rPr>
        <w:t>管理员应依次完成：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创建或确认用户账号；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设置内部业务角色和用户等级；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分配子公司、部门和工作组；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加入相应 Django 用户组；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确认模块角色准入；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需要审批职责时配置组织角色或审核组；</w:t>
      </w:r>
    </w:p>
    <w:p>
      <w:pPr>
        <w:pStyle w:val="14"/>
      </w:pPr>
      <w:r>
        <w:rPr>
          <w:rFonts w:ascii="微软雅黑" w:hAnsi="微软雅黑" w:eastAsia="微软雅黑"/>
          <w:color w:val="1F2937"/>
          <w:sz w:val="21"/>
        </w:rPr>
        <w:t>使用普通账号实际登录验证菜单和数据范围。</w:t>
      </w:r>
    </w:p>
    <w:p>
      <w:pPr>
        <w:pStyle w:val="4"/>
        <w:keepNext/>
        <w:keepLines/>
      </w:pPr>
      <w:bookmarkStart w:id="133" w:name="_Toc8174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24.3 配置变更注意事项</w:t>
      </w:r>
      <w:bookmarkEnd w:id="133"/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停用角色或模块会立即影响用户访问。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修改审批人配置前应检查在途流程。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修改评分规则或等级因子会影响绩效计算和快照。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修改测试标准的数据类型会影响材料和测试结果录入。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删除被业务数据引用的基础资料可能失败，也可能破坏历史可读性，优先停用而非删除。</w:t>
      </w:r>
    </w:p>
    <w:p>
      <w:pPr>
        <w:pBdr>
          <w:bottom w:val="single" w:color="CBD5E1" w:sz="8" w:space="1"/>
        </w:pBdr>
        <w:spacing w:after="100"/>
      </w:pPr>
    </w:p>
    <w:p>
      <w:pPr>
        <w:pStyle w:val="3"/>
        <w:keepNext/>
        <w:keepLines/>
        <w:pBdr>
          <w:bottom w:val="single" w:color="2563EB" w:sz="12" w:space="1"/>
        </w:pBdr>
      </w:pPr>
      <w:bookmarkStart w:id="134" w:name="_Toc2522"/>
      <w:r>
        <w:rPr>
          <w:rFonts w:ascii="微软雅黑" w:hAnsi="微软雅黑" w:eastAsia="微软雅黑"/>
          <w:b/>
          <w:i w:val="0"/>
          <w:color w:val="2563EB"/>
          <w:sz w:val="36"/>
          <w:u w:val="none"/>
        </w:rPr>
        <w:t>25. 状态速查</w:t>
      </w:r>
      <w:bookmarkEnd w:id="134"/>
    </w:p>
    <w:p>
      <w:pPr>
        <w:pStyle w:val="4"/>
        <w:keepNext/>
        <w:keepLines/>
      </w:pPr>
      <w:bookmarkStart w:id="135" w:name="_Toc1513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25.1 项目节点</w:t>
      </w:r>
      <w:bookmarkEnd w:id="135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7"/>
        <w:gridCol w:w="3137"/>
        <w:gridCol w:w="31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137" w:type="dxa"/>
            <w:shd w:val="clear" w:color="auto" w:fill="2563E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</w:t>
            </w:r>
          </w:p>
        </w:tc>
        <w:tc>
          <w:tcPr>
            <w:tcW w:w="3137" w:type="dxa"/>
            <w:shd w:val="clear" w:color="auto" w:fill="2563E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含义</w:t>
            </w:r>
          </w:p>
        </w:tc>
        <w:tc>
          <w:tcPr>
            <w:tcW w:w="3137" w:type="dxa"/>
            <w:shd w:val="clear" w:color="auto" w:fill="2563E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建议操作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未开始</w:t>
            </w:r>
          </w:p>
        </w:tc>
        <w:tc>
          <w:tcPr>
            <w:tcW w:w="31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尚未进入该节点</w:t>
            </w:r>
          </w:p>
        </w:tc>
        <w:tc>
          <w:tcPr>
            <w:tcW w:w="31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完成前序节点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7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进行中</w:t>
            </w:r>
          </w:p>
        </w:tc>
        <w:tc>
          <w:tcPr>
            <w:tcW w:w="3137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当前正在执行</w:t>
            </w:r>
          </w:p>
        </w:tc>
        <w:tc>
          <w:tcPr>
            <w:tcW w:w="3137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更新备注、添加配方/表单/附件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暂停</w:t>
            </w:r>
          </w:p>
        </w:tc>
        <w:tc>
          <w:tcPr>
            <w:tcW w:w="31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临时停止</w:t>
            </w:r>
          </w:p>
        </w:tc>
        <w:tc>
          <w:tcPr>
            <w:tcW w:w="31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说明暂停原因，恢复后改为进行中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7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待审批</w:t>
            </w:r>
          </w:p>
        </w:tc>
        <w:tc>
          <w:tcPr>
            <w:tcW w:w="3137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已提交节点审批</w:t>
            </w:r>
          </w:p>
        </w:tc>
        <w:tc>
          <w:tcPr>
            <w:tcW w:w="3137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等待审批，不重复提交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已完成</w:t>
            </w:r>
          </w:p>
        </w:tc>
        <w:tc>
          <w:tcPr>
            <w:tcW w:w="31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节点结束</w:t>
            </w:r>
          </w:p>
        </w:tc>
        <w:tc>
          <w:tcPr>
            <w:tcW w:w="31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进入下一节点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7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客户意见</w:t>
            </w:r>
          </w:p>
        </w:tc>
        <w:tc>
          <w:tcPr>
            <w:tcW w:w="3137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记录客户反馈</w:t>
            </w:r>
          </w:p>
        </w:tc>
        <w:tc>
          <w:tcPr>
            <w:tcW w:w="3137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查看意见类型和内容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异常/节点迭代</w:t>
            </w:r>
          </w:p>
        </w:tc>
        <w:tc>
          <w:tcPr>
            <w:tcW w:w="31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当前轮失败并生成返工节点</w:t>
            </w:r>
          </w:p>
        </w:tc>
        <w:tc>
          <w:tcPr>
            <w:tcW w:w="31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转到新一轮节点继续处理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7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已终止</w:t>
            </w:r>
          </w:p>
        </w:tc>
        <w:tc>
          <w:tcPr>
            <w:tcW w:w="3137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项目或节点结束</w:t>
            </w:r>
          </w:p>
        </w:tc>
        <w:tc>
          <w:tcPr>
            <w:tcW w:w="3137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查看终止原因</w:t>
            </w:r>
          </w:p>
        </w:tc>
      </w:tr>
    </w:tbl>
    <w:p>
      <w:pPr>
        <w:spacing w:after="0"/>
      </w:pPr>
    </w:p>
    <w:p>
      <w:pPr>
        <w:pStyle w:val="4"/>
        <w:keepNext/>
        <w:keepLines/>
      </w:pPr>
      <w:bookmarkStart w:id="136" w:name="_Toc18680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25.2 工单与生产任务</w:t>
      </w:r>
      <w:bookmarkEnd w:id="136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05"/>
        <w:gridCol w:w="47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705" w:type="dxa"/>
            <w:shd w:val="clear" w:color="auto" w:fill="2563E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对象</w:t>
            </w:r>
          </w:p>
        </w:tc>
        <w:tc>
          <w:tcPr>
            <w:tcW w:w="4705" w:type="dxa"/>
            <w:shd w:val="clear" w:color="auto" w:fill="2563E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典型状态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生产工单</w:t>
            </w:r>
          </w:p>
        </w:tc>
        <w:tc>
          <w:tcPr>
            <w:tcW w:w="470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草稿、流程中、已发单、挤出中、注塑中、测试中、已完成、已取消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5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挤出任务</w:t>
            </w:r>
          </w:p>
        </w:tc>
        <w:tc>
          <w:tcPr>
            <w:tcW w:w="4705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待生产、挤出中、已完成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注塑任务</w:t>
            </w:r>
          </w:p>
        </w:tc>
        <w:tc>
          <w:tcPr>
            <w:tcW w:w="470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待生产、注塑中、已完成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5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测试任务</w:t>
            </w:r>
          </w:p>
        </w:tc>
        <w:tc>
          <w:tcPr>
            <w:tcW w:w="4705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待测试、测试中、已完成、已回写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样品库存</w:t>
            </w:r>
          </w:p>
        </w:tc>
        <w:tc>
          <w:tcPr>
            <w:tcW w:w="470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在实验房、已入 SAP 仓库、已消耗</w:t>
            </w:r>
          </w:p>
        </w:tc>
      </w:tr>
    </w:tbl>
    <w:p>
      <w:pPr>
        <w:spacing w:after="0"/>
      </w:pPr>
    </w:p>
    <w:p>
      <w:pPr>
        <w:pStyle w:val="4"/>
        <w:keepNext/>
        <w:keepLines/>
      </w:pPr>
      <w:bookmarkStart w:id="137" w:name="_Toc27655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25.3 审批</w:t>
      </w:r>
      <w:bookmarkEnd w:id="137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05"/>
        <w:gridCol w:w="47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705" w:type="dxa"/>
            <w:shd w:val="clear" w:color="auto" w:fill="2563E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状态/动作</w:t>
            </w:r>
          </w:p>
        </w:tc>
        <w:tc>
          <w:tcPr>
            <w:tcW w:w="4705" w:type="dxa"/>
            <w:shd w:val="clear" w:color="auto" w:fill="2563E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含义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待处理</w:t>
            </w:r>
          </w:p>
        </w:tc>
        <w:tc>
          <w:tcPr>
            <w:tcW w:w="470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当前审批节点尚未完成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5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通过</w:t>
            </w:r>
          </w:p>
        </w:tc>
        <w:tc>
          <w:tcPr>
            <w:tcW w:w="4705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推进下一节点或结束流程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驳回</w:t>
            </w:r>
          </w:p>
        </w:tc>
        <w:tc>
          <w:tcPr>
            <w:tcW w:w="470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整个流程拒绝并结束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5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退回</w:t>
            </w:r>
          </w:p>
        </w:tc>
        <w:tc>
          <w:tcPr>
            <w:tcW w:w="4705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返回前序节点或发起人修订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已退回</w:t>
            </w:r>
          </w:p>
        </w:tc>
        <w:tc>
          <w:tcPr>
            <w:tcW w:w="470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当前历史任务因退回而结束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5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已取消</w:t>
            </w:r>
          </w:p>
        </w:tc>
        <w:tc>
          <w:tcPr>
            <w:tcW w:w="4705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发起人或授权用户取消流程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待签收</w:t>
            </w:r>
          </w:p>
        </w:tc>
        <w:tc>
          <w:tcPr>
            <w:tcW w:w="470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候选池中尚无人认领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5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转交</w:t>
            </w:r>
          </w:p>
        </w:tc>
        <w:tc>
          <w:tcPr>
            <w:tcW w:w="4705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 w:line="269" w:lineRule="auto"/>
            </w:pPr>
            <w:r>
              <w:rPr>
                <w:rFonts w:ascii="微软雅黑" w:hAnsi="微软雅黑" w:eastAsia="微软雅黑"/>
                <w:color w:val="1F2937"/>
                <w:sz w:val="18"/>
              </w:rPr>
              <w:t>当前负责人将任务移交给其他人</w:t>
            </w:r>
          </w:p>
        </w:tc>
      </w:tr>
    </w:tbl>
    <w:p>
      <w:pPr>
        <w:spacing w:after="0"/>
      </w:pPr>
    </w:p>
    <w:p>
      <w:pPr>
        <w:pBdr>
          <w:bottom w:val="single" w:color="CBD5E1" w:sz="8" w:space="1"/>
        </w:pBdr>
        <w:spacing w:after="100"/>
      </w:pPr>
    </w:p>
    <w:p>
      <w:pPr>
        <w:pStyle w:val="3"/>
        <w:keepNext/>
        <w:keepLines/>
        <w:pBdr>
          <w:bottom w:val="single" w:color="2563EB" w:sz="12" w:space="1"/>
        </w:pBdr>
      </w:pPr>
      <w:bookmarkStart w:id="138" w:name="_Toc18517"/>
      <w:r>
        <w:rPr>
          <w:rFonts w:ascii="微软雅黑" w:hAnsi="微软雅黑" w:eastAsia="微软雅黑"/>
          <w:b/>
          <w:i w:val="0"/>
          <w:color w:val="2563EB"/>
          <w:sz w:val="36"/>
          <w:u w:val="none"/>
        </w:rPr>
        <w:t>26. 常见问题</w:t>
      </w:r>
      <w:bookmarkEnd w:id="138"/>
    </w:p>
    <w:p>
      <w:pPr>
        <w:pStyle w:val="4"/>
        <w:keepNext/>
        <w:keepLines/>
      </w:pPr>
      <w:bookmarkStart w:id="139" w:name="_Toc1134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26.1 为什么看不到某个菜单或按钮？</w:t>
      </w:r>
      <w:bookmarkEnd w:id="139"/>
    </w:p>
    <w:p>
      <w:r>
        <w:rPr>
          <w:rFonts w:ascii="微软雅黑" w:hAnsi="微软雅黑" w:eastAsia="微软雅黑"/>
          <w:color w:val="1F2937"/>
          <w:sz w:val="21"/>
        </w:rPr>
        <w:t>常见原因：角色无准入、用户等级不足、缺少查看/新增/修改权限、数据不属于当前部门或工作组、当前用户不是负责人/成员，或对象状态不允许操作。请将账号、页面、业务编号和期望操作提供给管理员核对。</w:t>
      </w:r>
    </w:p>
    <w:p>
      <w:pPr>
        <w:pStyle w:val="4"/>
        <w:keepNext/>
        <w:keepLines/>
      </w:pPr>
      <w:bookmarkStart w:id="140" w:name="_Toc14538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26.2 为什么能看详情但不能编辑？</w:t>
      </w:r>
      <w:bookmarkEnd w:id="140"/>
    </w:p>
    <w:p>
      <w:r>
        <w:rPr>
          <w:rFonts w:ascii="微软雅黑" w:hAnsi="微软雅黑" w:eastAsia="微软雅黑"/>
          <w:color w:val="1F2937"/>
          <w:sz w:val="21"/>
        </w:rPr>
        <w:t>查看权限和修改权限相互独立；此外项目负责人、任务操作员、审批人和创建人还受对象级权限限制。生产工单状态也可能使配方或业务对象锁定。</w:t>
      </w:r>
    </w:p>
    <w:p>
      <w:pPr>
        <w:pStyle w:val="4"/>
        <w:keepNext/>
        <w:keepLines/>
      </w:pPr>
      <w:bookmarkStart w:id="141" w:name="_Toc3761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26.3 为什么配方不能增删版本？</w:t>
      </w:r>
      <w:bookmarkEnd w:id="141"/>
    </w:p>
    <w:p>
      <w:r>
        <w:rPr>
          <w:rFonts w:ascii="微软雅黑" w:hAnsi="微软雅黑" w:eastAsia="微软雅黑"/>
          <w:color w:val="1F2937"/>
          <w:sz w:val="21"/>
        </w:rPr>
        <w:t>关联工单已提交审批或已发单，版本结构被冻结。若工单已经进入挤出或后续阶段，整个实验单只读。</w:t>
      </w:r>
    </w:p>
    <w:p>
      <w:pPr>
        <w:pStyle w:val="4"/>
        <w:keepNext/>
        <w:keepLines/>
      </w:pPr>
      <w:bookmarkStart w:id="142" w:name="_Toc27959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26.4 为什么项目编辑后页面内容没有立即变化？</w:t>
      </w:r>
      <w:bookmarkEnd w:id="142"/>
    </w:p>
    <w:p>
      <w:r>
        <w:rPr>
          <w:rFonts w:ascii="微软雅黑" w:hAnsi="微软雅黑" w:eastAsia="微软雅黑"/>
          <w:color w:val="1F2937"/>
          <w:sz w:val="21"/>
        </w:rPr>
        <w:t>项目信息和项目档案编辑需要审批。审批通过前显示的仍是正式数据，可在变更记录和“我发起的流程”中查看进度。</w:t>
      </w:r>
    </w:p>
    <w:p>
      <w:pPr>
        <w:pStyle w:val="4"/>
        <w:keepNext/>
        <w:keepLines/>
      </w:pPr>
      <w:bookmarkStart w:id="143" w:name="_Toc17765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26.5 为什么测试结果不能填写？</w:t>
      </w:r>
      <w:bookmarkEnd w:id="143"/>
    </w:p>
    <w:p>
      <w:r>
        <w:rPr>
          <w:rFonts w:ascii="微软雅黑" w:hAnsi="微软雅黑" w:eastAsia="微软雅黑"/>
          <w:color w:val="1F2937"/>
          <w:sz w:val="21"/>
        </w:rPr>
        <w:t>检查任务是否已回写、当前账号是否有测试权限、测试项是否属于当前任务、配方版本是否属于对应工单，以及数据类型是否匹配。</w:t>
      </w:r>
    </w:p>
    <w:p>
      <w:pPr>
        <w:pStyle w:val="4"/>
        <w:keepNext/>
        <w:keepLines/>
      </w:pPr>
      <w:bookmarkStart w:id="144" w:name="_Toc25672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26.6 为什么下拉框搜不到用户或资料？</w:t>
      </w:r>
      <w:bookmarkEnd w:id="144"/>
    </w:p>
    <w:p>
      <w:r>
        <w:rPr>
          <w:rFonts w:ascii="微软雅黑" w:hAnsi="微软雅黑" w:eastAsia="微软雅黑"/>
          <w:color w:val="1F2937"/>
          <w:sz w:val="21"/>
        </w:rPr>
        <w:t>可能是关键词过短、对象未启用、数据受部门/工作组隔离或账号无查看权限。尝试输入完整名称/编号；仍无结果时联系资料维护人。</w:t>
      </w:r>
    </w:p>
    <w:p>
      <w:pPr>
        <w:pStyle w:val="4"/>
        <w:keepNext/>
        <w:keepLines/>
      </w:pPr>
      <w:bookmarkStart w:id="145" w:name="_Toc18760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26.7 为什么成本为空或不准确？</w:t>
      </w:r>
      <w:bookmarkEnd w:id="145"/>
    </w:p>
    <w:p>
      <w:r>
        <w:rPr>
          <w:rFonts w:ascii="微软雅黑" w:hAnsi="微软雅黑" w:eastAsia="微软雅黑"/>
          <w:color w:val="1F2937"/>
          <w:sz w:val="21"/>
        </w:rPr>
        <w:t>检查 BOM 原材料、份数、原材料价格记录、工厂和价格周期。最新价和近 N 月均价来自价格记录/SAP 同步，不是原材料编辑页的普通字段。</w:t>
      </w:r>
    </w:p>
    <w:p>
      <w:pPr>
        <w:pStyle w:val="4"/>
        <w:keepNext/>
        <w:keepLines/>
      </w:pPr>
      <w:bookmarkStart w:id="146" w:name="_Toc28032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26.8 为什么电子手册没有显示某个材料？</w:t>
      </w:r>
      <w:bookmarkEnd w:id="146"/>
    </w:p>
    <w:p>
      <w:r>
        <w:rPr>
          <w:rFonts w:ascii="微软雅黑" w:hAnsi="微软雅黑" w:eastAsia="微软雅黑"/>
          <w:color w:val="1F2937"/>
          <w:sz w:val="21"/>
        </w:rPr>
        <w:t>确认材料已开启“对外发布”、数据接口正常、分类数据完整且材料未被下架。电子手册实时读取主系统，短时接口异常也会造成暂时不可见。</w:t>
      </w:r>
    </w:p>
    <w:p>
      <w:pPr>
        <w:pStyle w:val="4"/>
        <w:keepNext/>
        <w:keepLines/>
      </w:pPr>
      <w:bookmarkStart w:id="147" w:name="_Toc32419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26.9 为什么审批任务显示“待签收”？</w:t>
      </w:r>
      <w:bookmarkEnd w:id="147"/>
    </w:p>
    <w:p>
      <w:r>
        <w:rPr>
          <w:rFonts w:ascii="微软雅黑" w:hAnsi="微软雅黑" w:eastAsia="微软雅黑"/>
          <w:color w:val="1F2937"/>
          <w:sz w:val="21"/>
        </w:rPr>
        <w:t>任务分配给候选组而非单一用户。候选组成员需先签收；如果当前用户不是候选人，应由有权限的候选人处理或由管理员检查配置。</w:t>
      </w:r>
    </w:p>
    <w:p>
      <w:pPr>
        <w:pStyle w:val="4"/>
        <w:keepNext/>
        <w:keepLines/>
      </w:pPr>
      <w:bookmarkStart w:id="148" w:name="_Toc11145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26.10 页面提示 403 或权限不足怎么办？</w:t>
      </w:r>
      <w:bookmarkEnd w:id="148"/>
    </w:p>
    <w:p>
      <w:r>
        <w:rPr>
          <w:rFonts w:ascii="微软雅黑" w:hAnsi="微软雅黑" w:eastAsia="微软雅黑"/>
          <w:color w:val="1F2937"/>
          <w:sz w:val="21"/>
        </w:rPr>
        <w:t>不要反复刷新或尝试修改地址。记录：当前账号、完整页面地址、对象编号、操作时间和截图，交由管理员检查权限和数据范围。</w:t>
      </w:r>
    </w:p>
    <w:p>
      <w:pPr>
        <w:pStyle w:val="4"/>
        <w:keepNext/>
        <w:keepLines/>
      </w:pPr>
      <w:bookmarkStart w:id="149" w:name="_Toc14040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26.11 上传失败怎么办？</w:t>
      </w:r>
      <w:bookmarkEnd w:id="149"/>
    </w:p>
    <w:p>
      <w:r>
        <w:rPr>
          <w:rFonts w:ascii="微软雅黑" w:hAnsi="微软雅黑" w:eastAsia="微软雅黑"/>
          <w:color w:val="1F2937"/>
          <w:sz w:val="21"/>
        </w:rPr>
        <w:t>检查文件大小、格式、网络连接和对象编辑权限；刷新页面确认文件是否已成功上传，避免重复上传。同名文件的处理规则以页面提示为准。</w:t>
      </w:r>
    </w:p>
    <w:p>
      <w:pPr>
        <w:pStyle w:val="4"/>
        <w:keepNext/>
        <w:keepLines/>
      </w:pPr>
      <w:bookmarkStart w:id="150" w:name="_Toc1562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26.12 误操作后怎么办？</w:t>
      </w:r>
      <w:bookmarkEnd w:id="150"/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草稿或未提交数据：返回编辑或删除后重建；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审批中：在允许时取消流程，或联系当前审批人退回；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已审批/已回写/已入库：立即停止后续操作，记录对象编号和时间，联系业务负责人及管理员处理；</w:t>
      </w:r>
    </w:p>
    <w:p>
      <w:pPr>
        <w:pStyle w:val="16"/>
      </w:pPr>
      <w:r>
        <w:rPr>
          <w:rFonts w:ascii="微软雅黑" w:hAnsi="微软雅黑" w:eastAsia="微软雅黑"/>
          <w:color w:val="1F2937"/>
          <w:sz w:val="21"/>
        </w:rPr>
        <w:t>不要通过重复提交制造“反向记录”来掩盖错误。</w:t>
      </w:r>
    </w:p>
    <w:p>
      <w:pPr>
        <w:pBdr>
          <w:bottom w:val="single" w:color="CBD5E1" w:sz="8" w:space="1"/>
        </w:pBdr>
        <w:spacing w:after="100"/>
      </w:pPr>
    </w:p>
    <w:p>
      <w:pPr>
        <w:pStyle w:val="3"/>
        <w:keepNext/>
        <w:keepLines/>
        <w:pBdr>
          <w:bottom w:val="single" w:color="2563EB" w:sz="12" w:space="1"/>
        </w:pBdr>
      </w:pPr>
      <w:bookmarkStart w:id="151" w:name="_Toc3893"/>
      <w:r>
        <w:rPr>
          <w:rFonts w:ascii="微软雅黑" w:hAnsi="微软雅黑" w:eastAsia="微软雅黑"/>
          <w:b/>
          <w:i w:val="0"/>
          <w:color w:val="2563EB"/>
          <w:sz w:val="36"/>
          <w:u w:val="none"/>
        </w:rPr>
        <w:t>27. 操作检查清单</w:t>
      </w:r>
      <w:bookmarkEnd w:id="151"/>
    </w:p>
    <w:p>
      <w:pPr>
        <w:pStyle w:val="4"/>
        <w:keepNext/>
        <w:keepLines/>
      </w:pPr>
      <w:bookmarkStart w:id="152" w:name="_Toc28657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27.1 发起项目前</w:t>
      </w:r>
      <w:bookmarkEnd w:id="152"/>
    </w:p>
    <w:p>
      <w:pPr>
        <w:ind w:left="283"/>
      </w:pPr>
      <w:r>
        <w:rPr>
          <w:rFonts w:ascii="Segoe UI Symbol" w:hAnsi="Segoe UI Symbol" w:eastAsia="Segoe UI Symbol"/>
          <w:color w:val="2563EB"/>
          <w:sz w:val="21"/>
        </w:rPr>
        <w:t xml:space="preserve">☐ </w:t>
      </w:r>
      <w:r>
        <w:rPr>
          <w:rFonts w:ascii="微软雅黑" w:hAnsi="微软雅黑" w:eastAsia="微软雅黑"/>
          <w:color w:val="1F2937"/>
          <w:sz w:val="21"/>
        </w:rPr>
        <w:t>客户和 OEM 资料已存在且正确</w:t>
      </w:r>
    </w:p>
    <w:p>
      <w:pPr>
        <w:ind w:left="283"/>
      </w:pPr>
      <w:r>
        <w:rPr>
          <w:rFonts w:ascii="Segoe UI Symbol" w:hAnsi="Segoe UI Symbol" w:eastAsia="Segoe UI Symbol"/>
          <w:color w:val="2563EB"/>
          <w:sz w:val="21"/>
        </w:rPr>
        <w:t xml:space="preserve">☐ </w:t>
      </w:r>
      <w:r>
        <w:rPr>
          <w:rFonts w:ascii="微软雅黑" w:hAnsi="微软雅黑" w:eastAsia="微软雅黑"/>
          <w:color w:val="1F2937"/>
          <w:sz w:val="21"/>
        </w:rPr>
        <w:t>成品材料、业务板块和项目等级可选</w:t>
      </w:r>
    </w:p>
    <w:p>
      <w:pPr>
        <w:ind w:left="283"/>
      </w:pPr>
      <w:r>
        <w:rPr>
          <w:rFonts w:ascii="Segoe UI Symbol" w:hAnsi="Segoe UI Symbol" w:eastAsia="Segoe UI Symbol"/>
          <w:color w:val="2563EB"/>
          <w:sz w:val="21"/>
        </w:rPr>
        <w:t xml:space="preserve">☐ </w:t>
      </w:r>
      <w:r>
        <w:rPr>
          <w:rFonts w:ascii="微软雅黑" w:hAnsi="微软雅黑" w:eastAsia="微软雅黑"/>
          <w:color w:val="1F2937"/>
          <w:sz w:val="21"/>
        </w:rPr>
        <w:t>项目负责人和成员组织信息正确</w:t>
      </w:r>
    </w:p>
    <w:p>
      <w:pPr>
        <w:ind w:left="283"/>
      </w:pPr>
      <w:r>
        <w:rPr>
          <w:rFonts w:ascii="Segoe UI Symbol" w:hAnsi="Segoe UI Symbol" w:eastAsia="Segoe UI Symbol"/>
          <w:color w:val="2563EB"/>
          <w:sz w:val="21"/>
        </w:rPr>
        <w:t xml:space="preserve">☐ </w:t>
      </w:r>
      <w:r>
        <w:rPr>
          <w:rFonts w:ascii="微软雅黑" w:hAnsi="微软雅黑" w:eastAsia="微软雅黑"/>
          <w:color w:val="1F2937"/>
          <w:sz w:val="21"/>
        </w:rPr>
        <w:t>默认审批流程已启用</w:t>
      </w:r>
    </w:p>
    <w:p>
      <w:pPr>
        <w:pStyle w:val="4"/>
        <w:keepNext/>
        <w:keepLines/>
      </w:pPr>
      <w:bookmarkStart w:id="153" w:name="_Toc30595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27.2 提交试产工单前</w:t>
      </w:r>
      <w:bookmarkEnd w:id="153"/>
    </w:p>
    <w:p>
      <w:pPr>
        <w:ind w:left="283"/>
      </w:pPr>
      <w:r>
        <w:rPr>
          <w:rFonts w:ascii="Segoe UI Symbol" w:hAnsi="Segoe UI Symbol" w:eastAsia="Segoe UI Symbol"/>
          <w:color w:val="2563EB"/>
          <w:sz w:val="21"/>
        </w:rPr>
        <w:t xml:space="preserve">☐ </w:t>
      </w:r>
      <w:r>
        <w:rPr>
          <w:rFonts w:ascii="微软雅黑" w:hAnsi="微软雅黑" w:eastAsia="微软雅黑"/>
          <w:color w:val="1F2937"/>
          <w:sz w:val="21"/>
        </w:rPr>
        <w:t>项目、节点、实验单号和配方版本正确</w:t>
      </w:r>
    </w:p>
    <w:p>
      <w:pPr>
        <w:ind w:left="283"/>
      </w:pPr>
      <w:r>
        <w:rPr>
          <w:rFonts w:ascii="Segoe UI Symbol" w:hAnsi="Segoe UI Symbol" w:eastAsia="Segoe UI Symbol"/>
          <w:color w:val="2563EB"/>
          <w:sz w:val="21"/>
        </w:rPr>
        <w:t xml:space="preserve">☐ </w:t>
      </w:r>
      <w:r>
        <w:rPr>
          <w:rFonts w:ascii="微软雅黑" w:hAnsi="微软雅黑" w:eastAsia="微软雅黑"/>
          <w:color w:val="1F2937"/>
          <w:sz w:val="21"/>
        </w:rPr>
        <w:t>各版本计划产量正确</w:t>
      </w:r>
    </w:p>
    <w:p>
      <w:pPr>
        <w:ind w:left="283"/>
      </w:pPr>
      <w:r>
        <w:rPr>
          <w:rFonts w:ascii="Segoe UI Symbol" w:hAnsi="Segoe UI Symbol" w:eastAsia="Segoe UI Symbol"/>
          <w:color w:val="2563EB"/>
          <w:sz w:val="21"/>
        </w:rPr>
        <w:t xml:space="preserve">☐ </w:t>
      </w:r>
      <w:r>
        <w:rPr>
          <w:rFonts w:ascii="微软雅黑" w:hAnsi="微软雅黑" w:eastAsia="微软雅黑"/>
          <w:color w:val="1F2937"/>
          <w:sz w:val="21"/>
        </w:rPr>
        <w:t>工艺方案和操作员正确</w:t>
      </w:r>
    </w:p>
    <w:p>
      <w:pPr>
        <w:ind w:left="283"/>
      </w:pPr>
      <w:r>
        <w:rPr>
          <w:rFonts w:ascii="Segoe UI Symbol" w:hAnsi="Segoe UI Symbol" w:eastAsia="Segoe UI Symbol"/>
          <w:color w:val="2563EB"/>
          <w:sz w:val="21"/>
        </w:rPr>
        <w:t xml:space="preserve">☐ </w:t>
      </w:r>
      <w:r>
        <w:rPr>
          <w:rFonts w:ascii="微软雅黑" w:hAnsi="微软雅黑" w:eastAsia="微软雅黑"/>
          <w:color w:val="1F2937"/>
          <w:sz w:val="21"/>
        </w:rPr>
        <w:t>配色需求已逐版本确认</w:t>
      </w:r>
    </w:p>
    <w:p>
      <w:pPr>
        <w:ind w:left="283"/>
      </w:pPr>
      <w:r>
        <w:rPr>
          <w:rFonts w:ascii="Segoe UI Symbol" w:hAnsi="Segoe UI Symbol" w:eastAsia="Segoe UI Symbol"/>
          <w:color w:val="2563EB"/>
          <w:sz w:val="21"/>
        </w:rPr>
        <w:t xml:space="preserve">☐ </w:t>
      </w:r>
      <w:r>
        <w:rPr>
          <w:rFonts w:ascii="微软雅黑" w:hAnsi="微软雅黑" w:eastAsia="微软雅黑"/>
          <w:color w:val="1F2937"/>
          <w:sz w:val="21"/>
        </w:rPr>
        <w:t>注塑温度、模具和制样数量正确</w:t>
      </w:r>
    </w:p>
    <w:p>
      <w:pPr>
        <w:ind w:left="283"/>
      </w:pPr>
      <w:r>
        <w:rPr>
          <w:rFonts w:ascii="Segoe UI Symbol" w:hAnsi="Segoe UI Symbol" w:eastAsia="Segoe UI Symbol"/>
          <w:color w:val="2563EB"/>
          <w:sz w:val="21"/>
        </w:rPr>
        <w:t xml:space="preserve">☐ </w:t>
      </w:r>
      <w:r>
        <w:rPr>
          <w:rFonts w:ascii="微软雅黑" w:hAnsi="微软雅黑" w:eastAsia="微软雅黑"/>
          <w:color w:val="1F2937"/>
          <w:sz w:val="21"/>
        </w:rPr>
        <w:t>测试项目选择完整</w:t>
      </w:r>
    </w:p>
    <w:p>
      <w:pPr>
        <w:ind w:left="283"/>
      </w:pPr>
      <w:r>
        <w:rPr>
          <w:rFonts w:ascii="Segoe UI Symbol" w:hAnsi="Segoe UI Symbol" w:eastAsia="Segoe UI Symbol"/>
          <w:color w:val="2563EB"/>
          <w:sz w:val="21"/>
        </w:rPr>
        <w:t xml:space="preserve">☐ </w:t>
      </w:r>
      <w:r>
        <w:rPr>
          <w:rFonts w:ascii="微软雅黑" w:hAnsi="微软雅黑" w:eastAsia="微软雅黑"/>
          <w:color w:val="1F2937"/>
          <w:sz w:val="21"/>
        </w:rPr>
        <w:t>包装、干燥和存放要求完整</w:t>
      </w:r>
    </w:p>
    <w:p>
      <w:pPr>
        <w:pStyle w:val="4"/>
        <w:keepNext/>
        <w:keepLines/>
      </w:pPr>
      <w:bookmarkStart w:id="154" w:name="_Toc18864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27.3 完成挤出前</w:t>
      </w:r>
      <w:bookmarkEnd w:id="154"/>
    </w:p>
    <w:p>
      <w:pPr>
        <w:ind w:left="283"/>
      </w:pPr>
      <w:r>
        <w:rPr>
          <w:rFonts w:ascii="Segoe UI Symbol" w:hAnsi="Segoe UI Symbol" w:eastAsia="Segoe UI Symbol"/>
          <w:color w:val="2563EB"/>
          <w:sz w:val="21"/>
        </w:rPr>
        <w:t xml:space="preserve">☐ </w:t>
      </w:r>
      <w:r>
        <w:rPr>
          <w:rFonts w:ascii="微软雅黑" w:hAnsi="微软雅黑" w:eastAsia="微软雅黑"/>
          <w:color w:val="1F2937"/>
          <w:sz w:val="21"/>
        </w:rPr>
        <w:t>实际过程参数已按现场值填写</w:t>
      </w:r>
    </w:p>
    <w:p>
      <w:pPr>
        <w:ind w:left="283"/>
      </w:pPr>
      <w:r>
        <w:rPr>
          <w:rFonts w:ascii="Segoe UI Symbol" w:hAnsi="Segoe UI Symbol" w:eastAsia="Segoe UI Symbol"/>
          <w:color w:val="2563EB"/>
          <w:sz w:val="21"/>
        </w:rPr>
        <w:t xml:space="preserve">☐ </w:t>
      </w:r>
      <w:r>
        <w:rPr>
          <w:rFonts w:ascii="微软雅黑" w:hAnsi="微软雅黑" w:eastAsia="微软雅黑"/>
          <w:color w:val="1F2937"/>
          <w:sz w:val="21"/>
        </w:rPr>
        <w:t>实际产量已填写</w:t>
      </w:r>
    </w:p>
    <w:p>
      <w:pPr>
        <w:ind w:left="283"/>
      </w:pPr>
      <w:r>
        <w:rPr>
          <w:rFonts w:ascii="Segoe UI Symbol" w:hAnsi="Segoe UI Symbol" w:eastAsia="Segoe UI Symbol"/>
          <w:color w:val="2563EB"/>
          <w:sz w:val="21"/>
        </w:rPr>
        <w:t xml:space="preserve">☐ </w:t>
      </w:r>
      <w:r>
        <w:rPr>
          <w:rFonts w:ascii="微软雅黑" w:hAnsi="微软雅黑" w:eastAsia="微软雅黑"/>
          <w:color w:val="1F2937"/>
          <w:sz w:val="21"/>
        </w:rPr>
        <w:t>异常和偏差已记录</w:t>
      </w:r>
    </w:p>
    <w:p>
      <w:pPr>
        <w:ind w:left="283"/>
      </w:pPr>
      <w:r>
        <w:rPr>
          <w:rFonts w:ascii="Segoe UI Symbol" w:hAnsi="Segoe UI Symbol" w:eastAsia="Segoe UI Symbol"/>
          <w:color w:val="2563EB"/>
          <w:sz w:val="21"/>
        </w:rPr>
        <w:t xml:space="preserve">☐ </w:t>
      </w:r>
      <w:r>
        <w:rPr>
          <w:rFonts w:ascii="微软雅黑" w:hAnsi="微软雅黑" w:eastAsia="微软雅黑"/>
          <w:color w:val="1F2937"/>
          <w:sz w:val="21"/>
        </w:rPr>
        <w:t>后续分拨用途已确认</w:t>
      </w:r>
    </w:p>
    <w:p>
      <w:pPr>
        <w:pStyle w:val="4"/>
        <w:keepNext/>
        <w:keepLines/>
      </w:pPr>
      <w:bookmarkStart w:id="155" w:name="_Toc9706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27.4 完成注塑前</w:t>
      </w:r>
      <w:bookmarkEnd w:id="155"/>
    </w:p>
    <w:p>
      <w:pPr>
        <w:ind w:left="283"/>
      </w:pPr>
      <w:r>
        <w:rPr>
          <w:rFonts w:ascii="Segoe UI Symbol" w:hAnsi="Segoe UI Symbol" w:eastAsia="Segoe UI Symbol"/>
          <w:color w:val="2563EB"/>
          <w:sz w:val="21"/>
        </w:rPr>
        <w:t xml:space="preserve">☐ </w:t>
      </w:r>
      <w:r>
        <w:rPr>
          <w:rFonts w:ascii="微软雅黑" w:hAnsi="微软雅黑" w:eastAsia="微软雅黑"/>
          <w:color w:val="1F2937"/>
          <w:sz w:val="21"/>
        </w:rPr>
        <w:t>颗粒来源和批次正确</w:t>
      </w:r>
    </w:p>
    <w:p>
      <w:pPr>
        <w:ind w:left="283"/>
      </w:pPr>
      <w:r>
        <w:rPr>
          <w:rFonts w:ascii="Segoe UI Symbol" w:hAnsi="Segoe UI Symbol" w:eastAsia="Segoe UI Symbol"/>
          <w:color w:val="2563EB"/>
          <w:sz w:val="21"/>
        </w:rPr>
        <w:t xml:space="preserve">☐ </w:t>
      </w:r>
      <w:r>
        <w:rPr>
          <w:rFonts w:ascii="微软雅黑" w:hAnsi="微软雅黑" w:eastAsia="微软雅黑"/>
          <w:color w:val="1F2937"/>
          <w:sz w:val="21"/>
        </w:rPr>
        <w:t>模具编号、标准和状态正确</w:t>
      </w:r>
    </w:p>
    <w:p>
      <w:pPr>
        <w:ind w:left="283"/>
      </w:pPr>
      <w:r>
        <w:rPr>
          <w:rFonts w:ascii="Segoe UI Symbol" w:hAnsi="Segoe UI Symbol" w:eastAsia="Segoe UI Symbol"/>
          <w:color w:val="2563EB"/>
          <w:sz w:val="21"/>
        </w:rPr>
        <w:t xml:space="preserve">☐ </w:t>
      </w:r>
      <w:r>
        <w:rPr>
          <w:rFonts w:ascii="微软雅黑" w:hAnsi="微软雅黑" w:eastAsia="微软雅黑"/>
          <w:color w:val="1F2937"/>
          <w:sz w:val="21"/>
        </w:rPr>
        <w:t>各版本计划与实际制样数量已核对</w:t>
      </w:r>
    </w:p>
    <w:p>
      <w:pPr>
        <w:ind w:left="283"/>
      </w:pPr>
      <w:r>
        <w:rPr>
          <w:rFonts w:ascii="Segoe UI Symbol" w:hAnsi="Segoe UI Symbol" w:eastAsia="Segoe UI Symbol"/>
          <w:color w:val="2563EB"/>
          <w:sz w:val="21"/>
        </w:rPr>
        <w:t xml:space="preserve">☐ </w:t>
      </w:r>
      <w:r>
        <w:rPr>
          <w:rFonts w:ascii="微软雅黑" w:hAnsi="微软雅黑" w:eastAsia="微软雅黑"/>
          <w:color w:val="1F2937"/>
          <w:sz w:val="21"/>
        </w:rPr>
        <w:t>合格样条数量已填写</w:t>
      </w:r>
    </w:p>
    <w:p>
      <w:pPr>
        <w:ind w:left="283"/>
      </w:pPr>
      <w:r>
        <w:rPr>
          <w:rFonts w:ascii="Segoe UI Symbol" w:hAnsi="Segoe UI Symbol" w:eastAsia="Segoe UI Symbol"/>
          <w:color w:val="2563EB"/>
          <w:sz w:val="21"/>
        </w:rPr>
        <w:t xml:space="preserve">☐ </w:t>
      </w:r>
      <w:r>
        <w:rPr>
          <w:rFonts w:ascii="微软雅黑" w:hAnsi="微软雅黑" w:eastAsia="微软雅黑"/>
          <w:color w:val="1F2937"/>
          <w:sz w:val="21"/>
        </w:rPr>
        <w:t>工艺异常已记录</w:t>
      </w:r>
    </w:p>
    <w:p>
      <w:pPr>
        <w:pStyle w:val="4"/>
        <w:keepNext/>
        <w:keepLines/>
      </w:pPr>
      <w:bookmarkStart w:id="156" w:name="_Toc12455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27.5 回写测试结果前</w:t>
      </w:r>
      <w:bookmarkEnd w:id="156"/>
    </w:p>
    <w:p>
      <w:pPr>
        <w:ind w:left="283"/>
      </w:pPr>
      <w:r>
        <w:rPr>
          <w:rFonts w:ascii="Segoe UI Symbol" w:hAnsi="Segoe UI Symbol" w:eastAsia="Segoe UI Symbol"/>
          <w:color w:val="2563EB"/>
          <w:sz w:val="21"/>
        </w:rPr>
        <w:t xml:space="preserve">☐ </w:t>
      </w:r>
      <w:r>
        <w:rPr>
          <w:rFonts w:ascii="微软雅黑" w:hAnsi="微软雅黑" w:eastAsia="微软雅黑"/>
          <w:color w:val="1F2937"/>
          <w:sz w:val="21"/>
        </w:rPr>
        <w:t>每列配方版本核对无误</w:t>
      </w:r>
    </w:p>
    <w:p>
      <w:pPr>
        <w:ind w:left="283"/>
      </w:pPr>
      <w:r>
        <w:rPr>
          <w:rFonts w:ascii="Segoe UI Symbol" w:hAnsi="Segoe UI Symbol" w:eastAsia="Segoe UI Symbol"/>
          <w:color w:val="2563EB"/>
          <w:sz w:val="21"/>
        </w:rPr>
        <w:t xml:space="preserve">☐ </w:t>
      </w:r>
      <w:r>
        <w:rPr>
          <w:rFonts w:ascii="微软雅黑" w:hAnsi="微软雅黑" w:eastAsia="微软雅黑"/>
          <w:color w:val="1F2937"/>
          <w:sz w:val="21"/>
        </w:rPr>
        <w:t>数值、单位、文本/选项类型正确</w:t>
      </w:r>
    </w:p>
    <w:p>
      <w:pPr>
        <w:ind w:left="283"/>
      </w:pPr>
      <w:r>
        <w:rPr>
          <w:rFonts w:ascii="Segoe UI Symbol" w:hAnsi="Segoe UI Symbol" w:eastAsia="Segoe UI Symbol"/>
          <w:color w:val="2563EB"/>
          <w:sz w:val="21"/>
        </w:rPr>
        <w:t xml:space="preserve">☐ </w:t>
      </w:r>
      <w:r>
        <w:rPr>
          <w:rFonts w:ascii="微软雅黑" w:hAnsi="微软雅黑" w:eastAsia="微软雅黑"/>
          <w:color w:val="1F2937"/>
          <w:sz w:val="21"/>
        </w:rPr>
        <w:t>测试日期和备注完整</w:t>
      </w:r>
    </w:p>
    <w:p>
      <w:pPr>
        <w:ind w:left="283"/>
      </w:pPr>
      <w:r>
        <w:rPr>
          <w:rFonts w:ascii="Segoe UI Symbol" w:hAnsi="Segoe UI Symbol" w:eastAsia="Segoe UI Symbol"/>
          <w:color w:val="2563EB"/>
          <w:sz w:val="21"/>
        </w:rPr>
        <w:t xml:space="preserve">☐ </w:t>
      </w:r>
      <w:r>
        <w:rPr>
          <w:rFonts w:ascii="微软雅黑" w:hAnsi="微软雅黑" w:eastAsia="微软雅黑"/>
          <w:color w:val="1F2937"/>
          <w:sz w:val="21"/>
        </w:rPr>
        <w:t>缺失项已有明确处理结论</w:t>
      </w:r>
    </w:p>
    <w:p>
      <w:pPr>
        <w:ind w:left="283"/>
      </w:pPr>
      <w:r>
        <w:rPr>
          <w:rFonts w:ascii="Segoe UI Symbol" w:hAnsi="Segoe UI Symbol" w:eastAsia="Segoe UI Symbol"/>
          <w:color w:val="2563EB"/>
          <w:sz w:val="21"/>
        </w:rPr>
        <w:t xml:space="preserve">☐ </w:t>
      </w:r>
      <w:r>
        <w:rPr>
          <w:rFonts w:ascii="微软雅黑" w:hAnsi="微软雅黑" w:eastAsia="微软雅黑"/>
          <w:color w:val="1F2937"/>
          <w:sz w:val="21"/>
        </w:rPr>
        <w:t>已由测试负责人复核</w:t>
      </w:r>
    </w:p>
    <w:p>
      <w:pPr>
        <w:pStyle w:val="4"/>
        <w:keepNext/>
        <w:keepLines/>
      </w:pPr>
      <w:bookmarkStart w:id="157" w:name="_Toc11043"/>
      <w:r>
        <w:rPr>
          <w:rFonts w:ascii="微软雅黑" w:hAnsi="微软雅黑" w:eastAsia="微软雅黑"/>
          <w:b/>
          <w:i w:val="0"/>
          <w:color w:val="1F2937"/>
          <w:sz w:val="28"/>
          <w:u w:val="none"/>
        </w:rPr>
        <w:t>27.6 发布材料前</w:t>
      </w:r>
      <w:bookmarkEnd w:id="157"/>
    </w:p>
    <w:p>
      <w:pPr>
        <w:ind w:left="283"/>
      </w:pPr>
      <w:r>
        <w:rPr>
          <w:rFonts w:ascii="Segoe UI Symbol" w:hAnsi="Segoe UI Symbol" w:eastAsia="Segoe UI Symbol"/>
          <w:color w:val="2563EB"/>
          <w:sz w:val="21"/>
        </w:rPr>
        <w:t xml:space="preserve">☐ </w:t>
      </w:r>
      <w:r>
        <w:rPr>
          <w:rFonts w:ascii="微软雅黑" w:hAnsi="微软雅黑" w:eastAsia="微软雅黑"/>
          <w:color w:val="1F2937"/>
          <w:sz w:val="21"/>
        </w:rPr>
        <w:t>材料牌号、名称、分类和 SAP 编码正确</w:t>
      </w:r>
    </w:p>
    <w:p>
      <w:pPr>
        <w:ind w:left="283"/>
      </w:pPr>
      <w:r>
        <w:rPr>
          <w:rFonts w:ascii="Segoe UI Symbol" w:hAnsi="Segoe UI Symbol" w:eastAsia="Segoe UI Symbol"/>
          <w:color w:val="2563EB"/>
          <w:sz w:val="21"/>
        </w:rPr>
        <w:t xml:space="preserve">☐ </w:t>
      </w:r>
      <w:r>
        <w:rPr>
          <w:rFonts w:ascii="微软雅黑" w:hAnsi="微软雅黑" w:eastAsia="微软雅黑"/>
          <w:color w:val="1F2937"/>
          <w:sz w:val="21"/>
        </w:rPr>
        <w:t>对外物性数据完整且无敏感内容</w:t>
      </w:r>
    </w:p>
    <w:p>
      <w:pPr>
        <w:ind w:left="283"/>
      </w:pPr>
      <w:r>
        <w:rPr>
          <w:rFonts w:ascii="Segoe UI Symbol" w:hAnsi="Segoe UI Symbol" w:eastAsia="Segoe UI Symbol"/>
          <w:color w:val="2563EB"/>
          <w:sz w:val="21"/>
        </w:rPr>
        <w:t xml:space="preserve">☐ </w:t>
      </w:r>
      <w:r>
        <w:rPr>
          <w:rFonts w:ascii="微软雅黑" w:hAnsi="微软雅黑" w:eastAsia="微软雅黑"/>
          <w:color w:val="1F2937"/>
          <w:sz w:val="21"/>
        </w:rPr>
        <w:t>TDS/SDS 等附件为有效版本</w:t>
      </w:r>
    </w:p>
    <w:p>
      <w:pPr>
        <w:ind w:left="283"/>
      </w:pPr>
      <w:r>
        <w:rPr>
          <w:rFonts w:ascii="Segoe UI Symbol" w:hAnsi="Segoe UI Symbol" w:eastAsia="Segoe UI Symbol"/>
          <w:color w:val="2563EB"/>
          <w:sz w:val="21"/>
        </w:rPr>
        <w:t xml:space="preserve">☐ </w:t>
      </w:r>
      <w:r>
        <w:rPr>
          <w:rFonts w:ascii="微软雅黑" w:hAnsi="微软雅黑" w:eastAsia="微软雅黑"/>
          <w:color w:val="1F2937"/>
          <w:sz w:val="21"/>
        </w:rPr>
        <w:t>中英文名称符合发布要求</w:t>
      </w:r>
    </w:p>
    <w:p>
      <w:pPr>
        <w:ind w:left="283"/>
      </w:pPr>
      <w:r>
        <w:rPr>
          <w:rFonts w:ascii="Segoe UI Symbol" w:hAnsi="Segoe UI Symbol" w:eastAsia="Segoe UI Symbol"/>
          <w:color w:val="2563EB"/>
          <w:sz w:val="21"/>
        </w:rPr>
        <w:t xml:space="preserve">☐ </w:t>
      </w:r>
      <w:r>
        <w:rPr>
          <w:rFonts w:ascii="微软雅黑" w:hAnsi="微软雅黑" w:eastAsia="微软雅黑"/>
          <w:color w:val="1F2937"/>
          <w:sz w:val="21"/>
        </w:rPr>
        <w:t>已确认开启“对外发布”</w:t>
      </w:r>
    </w:p>
    <w:p>
      <w:pPr>
        <w:pBdr>
          <w:bottom w:val="single" w:color="CBD5E1" w:sz="8" w:space="1"/>
        </w:pBdr>
        <w:spacing w:after="100"/>
      </w:pPr>
    </w:p>
    <w:p>
      <w:r>
        <w:rPr>
          <w:rFonts w:ascii="微软雅黑" w:hAnsi="微软雅黑" w:eastAsia="微软雅黑"/>
          <w:color w:val="1F2937"/>
          <w:sz w:val="21"/>
        </w:rPr>
        <w:t>如系统界面与本手册不一致，应以当前系统页面、权限配置和业务制度为准，并及时更新本文档。</w:t>
      </w:r>
    </w:p>
    <w:sectPr>
      <w:headerReference r:id="rId5" w:type="default"/>
      <w:footerReference r:id="rId6" w:type="default"/>
      <w:pgSz w:w="11906" w:h="16838"/>
      <w:pgMar w:top="1247" w:right="1191" w:bottom="1134" w:left="1304" w:header="567" w:footer="567" w:gutter="0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 Symbol">
    <w:panose1 w:val="020B0502040204020203"/>
    <w:charset w:val="00"/>
    <w:family w:val="auto"/>
    <w:pitch w:val="default"/>
    <w:sig w:usb0="800001E3" w:usb1="1200FFEF" w:usb2="00040000" w:usb3="04000000" w:csb0="00000001" w:csb1="4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4"/>
      <w:jc w:val="center"/>
    </w:pPr>
    <w:r>
      <w:rPr>
        <w:rFonts w:ascii="微软雅黑" w:hAnsi="微软雅黑" w:eastAsia="微软雅黑"/>
        <w:color w:val="64748B"/>
        <w:sz w:val="17"/>
      </w:rPr>
      <w:t xml:space="preserve">第 </w:t>
    </w:r>
    <w:r>
      <w:rPr>
        <w:rFonts w:ascii="微软雅黑" w:hAnsi="微软雅黑" w:eastAsia="微软雅黑"/>
        <w:color w:val="64748B"/>
        <w:sz w:val="17"/>
      </w:rPr>
      <w:fldChar w:fldCharType="begin"/>
    </w:r>
    <w:r>
      <w:rPr>
        <w:rFonts w:ascii="微软雅黑" w:hAnsi="微软雅黑" w:eastAsia="微软雅黑"/>
        <w:color w:val="64748B"/>
        <w:sz w:val="17"/>
      </w:rPr>
      <w:instrText xml:space="preserve"> PAGE </w:instrText>
    </w:r>
    <w:r>
      <w:rPr>
        <w:rFonts w:ascii="微软雅黑" w:hAnsi="微软雅黑" w:eastAsia="微软雅黑"/>
        <w:color w:val="64748B"/>
        <w:sz w:val="17"/>
      </w:rPr>
      <w:fldChar w:fldCharType="separate"/>
    </w:r>
    <w:r>
      <w:rPr>
        <w:rFonts w:ascii="微软雅黑" w:hAnsi="微软雅黑" w:eastAsia="微软雅黑"/>
        <w:color w:val="64748B"/>
        <w:sz w:val="17"/>
      </w:rPr>
      <w:t>1</w:t>
    </w:r>
    <w:r>
      <w:rPr>
        <w:rFonts w:ascii="微软雅黑" w:hAnsi="微软雅黑" w:eastAsia="微软雅黑"/>
        <w:color w:val="64748B"/>
        <w:sz w:val="17"/>
      </w:rPr>
      <w:fldChar w:fldCharType="end"/>
    </w:r>
    <w:r>
      <w:rPr>
        <w:rFonts w:ascii="微软雅黑" w:hAnsi="微软雅黑" w:eastAsia="微软雅黑"/>
        <w:color w:val="64748B"/>
        <w:sz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24" w:lineRule="auto"/>
      </w:pPr>
      <w:r>
        <w:separator/>
      </w:r>
    </w:p>
  </w:footnote>
  <w:footnote w:type="continuationSeparator" w:id="1">
    <w:p>
      <w:pPr>
        <w:spacing w:before="0" w:after="0" w:line="324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5"/>
      <w:pBdr>
        <w:bottom w:val="single" w:color="E2E8F0" w:sz="4" w:space="1"/>
      </w:pBdr>
      <w:jc w:val="right"/>
    </w:pPr>
    <w:r>
      <w:rPr>
        <w:rFonts w:ascii="微软雅黑" w:hAnsi="微软雅黑" w:eastAsia="微软雅黑"/>
        <w:color w:val="64748B"/>
        <w:sz w:val="17"/>
      </w:rPr>
      <w:t>项目管理系统用户操作手册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93E513D"/>
    <w:rsid w:val="59701E41"/>
    <w:rsid w:val="61274A32"/>
    <w:rsid w:val="712168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qFormat="1"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qFormat="1"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324" w:lineRule="auto"/>
    </w:pPr>
    <w:rPr>
      <w:rFonts w:ascii="微软雅黑" w:hAnsi="微软雅黑" w:eastAsia="微软雅黑" w:cstheme="minorBidi"/>
      <w:color w:val="1F2937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40"/>
    <w:qFormat/>
    <w:uiPriority w:val="9"/>
    <w:pPr>
      <w:keepNext/>
      <w:keepLines/>
      <w:pBdr>
        <w:bottom w:val="single" w:color="2563EB" w:sz="8" w:space="4"/>
      </w:pBdr>
      <w:spacing w:before="360" w:after="200"/>
      <w:outlineLvl w:val="0"/>
    </w:pPr>
    <w:rPr>
      <w:rFonts w:asciiTheme="majorHAnsi" w:hAnsiTheme="majorHAnsi" w:eastAsiaTheme="majorEastAsia" w:cstheme="majorBidi"/>
      <w:b/>
      <w:bCs/>
      <w:color w:val="2563EB"/>
      <w:sz w:val="36"/>
      <w:szCs w:val="28"/>
    </w:rPr>
  </w:style>
  <w:style w:type="paragraph" w:styleId="4">
    <w:name w:val="heading 2"/>
    <w:basedOn w:val="1"/>
    <w:next w:val="1"/>
    <w:link w:val="141"/>
    <w:unhideWhenUsed/>
    <w:qFormat/>
    <w:uiPriority w:val="9"/>
    <w:pPr>
      <w:keepNext/>
      <w:keepLines/>
      <w:spacing w:before="280" w:after="140"/>
      <w:outlineLvl w:val="1"/>
    </w:pPr>
    <w:rPr>
      <w:rFonts w:asciiTheme="majorHAnsi" w:hAnsiTheme="majorHAnsi" w:eastAsiaTheme="majorEastAsia" w:cstheme="majorBidi"/>
      <w:b/>
      <w:bCs/>
      <w:color w:val="1F2937"/>
      <w:sz w:val="28"/>
      <w:szCs w:val="26"/>
    </w:rPr>
  </w:style>
  <w:style w:type="paragraph" w:styleId="5">
    <w:name w:val="heading 3"/>
    <w:basedOn w:val="1"/>
    <w:next w:val="1"/>
    <w:link w:val="142"/>
    <w:unhideWhenUsed/>
    <w:qFormat/>
    <w:uiPriority w:val="9"/>
    <w:pPr>
      <w:keepNext/>
      <w:keepLines/>
      <w:spacing w:before="200" w:after="100"/>
      <w:outlineLvl w:val="2"/>
    </w:pPr>
    <w:rPr>
      <w:rFonts w:asciiTheme="majorHAnsi" w:hAnsiTheme="majorHAnsi" w:eastAsiaTheme="majorEastAsia" w:cstheme="majorBidi"/>
      <w:b/>
      <w:bCs/>
      <w:color w:val="1F2937"/>
      <w:sz w:val="23"/>
    </w:rPr>
  </w:style>
  <w:style w:type="paragraph" w:styleId="6">
    <w:name w:val="heading 4"/>
    <w:basedOn w:val="1"/>
    <w:next w:val="1"/>
    <w:link w:val="152"/>
    <w:semiHidden/>
    <w:unhideWhenUsed/>
    <w:qFormat/>
    <w:uiPriority w:val="9"/>
    <w:pPr>
      <w:keepNext/>
      <w:keepLines/>
      <w:spacing w:before="160" w:after="80"/>
      <w:outlineLvl w:val="3"/>
    </w:pPr>
    <w:rPr>
      <w:rFonts w:asciiTheme="majorHAnsi" w:hAnsiTheme="majorHAnsi" w:eastAsiaTheme="majorEastAsia" w:cstheme="majorBidi"/>
      <w:b/>
      <w:bCs/>
      <w:iCs/>
      <w:color w:val="2563EB"/>
      <w:sz w:val="21"/>
    </w:rPr>
  </w:style>
  <w:style w:type="paragraph" w:styleId="7">
    <w:name w:val="heading 5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4">
    <w:name w:val="Default Paragraph Font"/>
    <w:semiHidden/>
    <w:unhideWhenUsed/>
    <w:qFormat/>
    <w:uiPriority w:val="1"/>
  </w:style>
  <w:style w:type="table" w:default="1" w:styleId="3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9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spacing w:after="80" w:line="300" w:lineRule="auto"/>
      <w:contextualSpacing/>
    </w:pPr>
    <w:rPr>
      <w:rFonts w:ascii="微软雅黑" w:hAnsi="微软雅黑" w:eastAsia="微软雅黑"/>
      <w:sz w:val="21"/>
    </w:r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spacing w:after="80" w:line="300" w:lineRule="auto"/>
      <w:contextualSpacing/>
    </w:pPr>
    <w:rPr>
      <w:rFonts w:ascii="微软雅黑" w:hAnsi="微软雅黑" w:eastAsia="微软雅黑"/>
      <w:sz w:val="21"/>
    </w:rPr>
  </w:style>
  <w:style w:type="paragraph" w:styleId="17">
    <w:name w:val="Body Text 3"/>
    <w:basedOn w:val="1"/>
    <w:link w:val="148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6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8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toc 1"/>
    <w:basedOn w:val="1"/>
    <w:next w:val="1"/>
    <w:semiHidden/>
    <w:unhideWhenUsed/>
    <w:uiPriority w:val="39"/>
  </w:style>
  <w:style w:type="paragraph" w:styleId="27">
    <w:name w:val="Subtitle"/>
    <w:basedOn w:val="1"/>
    <w:next w:val="1"/>
    <w:link w:val="1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8">
    <w:name w:val="List"/>
    <w:basedOn w:val="1"/>
    <w:unhideWhenUsed/>
    <w:uiPriority w:val="99"/>
    <w:pPr>
      <w:ind w:left="360" w:hanging="360"/>
      <w:contextualSpacing/>
    </w:pPr>
  </w:style>
  <w:style w:type="paragraph" w:styleId="29">
    <w:name w:val="toc 2"/>
    <w:basedOn w:val="1"/>
    <w:next w:val="1"/>
    <w:semiHidden/>
    <w:unhideWhenUsed/>
    <w:uiPriority w:val="39"/>
    <w:pPr>
      <w:ind w:left="420" w:leftChars="200"/>
    </w:pPr>
  </w:style>
  <w:style w:type="paragraph" w:styleId="30">
    <w:name w:val="Body Text 2"/>
    <w:basedOn w:val="1"/>
    <w:link w:val="147"/>
    <w:unhideWhenUsed/>
    <w:uiPriority w:val="99"/>
    <w:pPr>
      <w:spacing w:after="120" w:line="480" w:lineRule="auto"/>
    </w:pPr>
  </w:style>
  <w:style w:type="paragraph" w:styleId="31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2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3">
    <w:name w:val="Title"/>
    <w:basedOn w:val="1"/>
    <w:next w:val="1"/>
    <w:link w:val="143"/>
    <w:qFormat/>
    <w:uiPriority w:val="10"/>
    <w:pPr>
      <w:keepNext/>
      <w:pBdr>
        <w:bottom w:val="single" w:color="4F81BD" w:themeColor="accent1" w:sz="8" w:space="4"/>
      </w:pBdr>
      <w:spacing w:before="0" w:after="360" w:line="240" w:lineRule="auto"/>
      <w:contextualSpacing/>
    </w:pPr>
    <w:rPr>
      <w:rFonts w:asciiTheme="majorHAnsi" w:hAnsiTheme="majorHAnsi" w:eastAsiaTheme="majorEastAsia" w:cstheme="majorBidi"/>
      <w:b/>
      <w:color w:val="1F2937"/>
      <w:spacing w:val="5"/>
      <w:kern w:val="28"/>
      <w:sz w:val="56"/>
      <w:szCs w:val="52"/>
    </w:rPr>
  </w:style>
  <w:style w:type="table" w:styleId="35">
    <w:name w:val="Table Grid"/>
    <w:basedOn w:val="34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6">
    <w:name w:val="Light Shading"/>
    <w:basedOn w:val="34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7">
    <w:name w:val="Light Shading Accent 1"/>
    <w:basedOn w:val="34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8">
    <w:name w:val="Light Shading Accent 2"/>
    <w:basedOn w:val="34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9">
    <w:name w:val="Light Shading Accent 3"/>
    <w:basedOn w:val="34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0">
    <w:name w:val="Light Shading Accent 4"/>
    <w:basedOn w:val="34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1">
    <w:name w:val="Light Shading Accent 5"/>
    <w:basedOn w:val="34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2">
    <w:name w:val="Light Shading Accent 6"/>
    <w:basedOn w:val="34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3">
    <w:name w:val="Light List"/>
    <w:basedOn w:val="34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4">
    <w:name w:val="Light List Accent 1"/>
    <w:basedOn w:val="34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5">
    <w:name w:val="Light List Accent 2"/>
    <w:basedOn w:val="34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6">
    <w:name w:val="Light List Accent 3"/>
    <w:basedOn w:val="34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7">
    <w:name w:val="Light List Accent 4"/>
    <w:basedOn w:val="34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8">
    <w:name w:val="Light List Accent 5"/>
    <w:basedOn w:val="34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9">
    <w:name w:val="Light List Accent 6"/>
    <w:basedOn w:val="34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0">
    <w:name w:val="Light Grid"/>
    <w:basedOn w:val="34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1">
    <w:name w:val="Light Grid Accent 1"/>
    <w:basedOn w:val="34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2">
    <w:name w:val="Light Grid Accent 2"/>
    <w:basedOn w:val="34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3">
    <w:name w:val="Light Grid Accent 3"/>
    <w:basedOn w:val="34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4">
    <w:name w:val="Light Grid Accent 4"/>
    <w:basedOn w:val="34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5">
    <w:name w:val="Light Grid Accent 5"/>
    <w:basedOn w:val="34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6">
    <w:name w:val="Light Grid Accent 6"/>
    <w:basedOn w:val="34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7">
    <w:name w:val="Medium Shading 1"/>
    <w:basedOn w:val="34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1"/>
    <w:basedOn w:val="34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2"/>
    <w:basedOn w:val="34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3"/>
    <w:basedOn w:val="34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4"/>
    <w:basedOn w:val="34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5"/>
    <w:basedOn w:val="34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6"/>
    <w:basedOn w:val="34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2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1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2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3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4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5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6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List 1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2">
    <w:name w:val="Medium List 1 Accent 1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3">
    <w:name w:val="Medium List 1 Accent 2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4">
    <w:name w:val="Medium List 1 Accent 3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5">
    <w:name w:val="Medium List 1 Accent 4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6">
    <w:name w:val="Medium List 1 Accent 5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7">
    <w:name w:val="Medium List 1 Accent 6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8">
    <w:name w:val="Medium List 2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1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2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3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4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5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6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Grid 1"/>
    <w:basedOn w:val="34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6">
    <w:name w:val="Medium Grid 1 Accent 1"/>
    <w:basedOn w:val="34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7">
    <w:name w:val="Medium Grid 1 Accent 2"/>
    <w:basedOn w:val="34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8">
    <w:name w:val="Medium Grid 1 Accent 3"/>
    <w:basedOn w:val="34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9">
    <w:name w:val="Medium Grid 1 Accent 4"/>
    <w:basedOn w:val="34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0">
    <w:name w:val="Medium Grid 1 Accent 5"/>
    <w:basedOn w:val="34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1">
    <w:name w:val="Medium Grid 1 Accent 6"/>
    <w:basedOn w:val="34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2">
    <w:name w:val="Medium Grid 2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1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2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3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4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5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6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3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0">
    <w:name w:val="Medium Grid 3 Accent 1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1">
    <w:name w:val="Medium Grid 3 Accent 2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2">
    <w:name w:val="Medium Grid 3 Accent 3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3">
    <w:name w:val="Medium Grid 3 Accent 4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4">
    <w:name w:val="Medium Grid 3 Accent 5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5">
    <w:name w:val="Medium Grid 3 Accent 6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6">
    <w:name w:val="Dark List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7">
    <w:name w:val="Dark List Accent 1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8">
    <w:name w:val="Dark List Accent 2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9">
    <w:name w:val="Dark List Accent 3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0">
    <w:name w:val="Dark List Accent 4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1">
    <w:name w:val="Dark List Accent 5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2">
    <w:name w:val="Dark List Accent 6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3">
    <w:name w:val="Colorful Shading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1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2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3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7">
    <w:name w:val="Colorful Shading Accent 4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5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6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List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1">
    <w:name w:val="Colorful List Accent 1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2">
    <w:name w:val="Colorful List Accent 2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3">
    <w:name w:val="Colorful List Accent 3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4">
    <w:name w:val="Colorful List Accent 4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5">
    <w:name w:val="Colorful List Accent 5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6">
    <w:name w:val="Colorful List Accent 6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7">
    <w:name w:val="Colorful Grid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8">
    <w:name w:val="Colorful Grid Accent 1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9">
    <w:name w:val="Colorful Grid Accent 2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0">
    <w:name w:val="Colorful Grid Accent 3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1">
    <w:name w:val="Colorful Grid Accent 4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2">
    <w:name w:val="Colorful Grid Accent 5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3">
    <w:name w:val="Colorful Grid Accent 6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5">
    <w:name w:val="Strong"/>
    <w:basedOn w:val="134"/>
    <w:qFormat/>
    <w:uiPriority w:val="22"/>
    <w:rPr>
      <w:b/>
      <w:bCs/>
    </w:rPr>
  </w:style>
  <w:style w:type="character" w:styleId="136">
    <w:name w:val="Emphasis"/>
    <w:basedOn w:val="134"/>
    <w:qFormat/>
    <w:uiPriority w:val="20"/>
    <w:rPr>
      <w:i/>
      <w:iCs/>
    </w:rPr>
  </w:style>
  <w:style w:type="character" w:customStyle="1" w:styleId="137">
    <w:name w:val="Header Char"/>
    <w:basedOn w:val="134"/>
    <w:link w:val="25"/>
    <w:qFormat/>
    <w:uiPriority w:val="99"/>
  </w:style>
  <w:style w:type="character" w:customStyle="1" w:styleId="138">
    <w:name w:val="Footer Char"/>
    <w:basedOn w:val="134"/>
    <w:link w:val="24"/>
    <w:qFormat/>
    <w:uiPriority w:val="99"/>
  </w:style>
  <w:style w:type="paragraph" w:styleId="1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0">
    <w:name w:val="Heading 1 Char"/>
    <w:basedOn w:val="134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1">
    <w:name w:val="Heading 2 Char"/>
    <w:basedOn w:val="134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2">
    <w:name w:val="Heading 3 Char"/>
    <w:basedOn w:val="134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3">
    <w:name w:val="Title Char"/>
    <w:basedOn w:val="134"/>
    <w:link w:val="33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4">
    <w:name w:val="Subtitle Char"/>
    <w:basedOn w:val="134"/>
    <w:link w:val="27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5">
    <w:name w:val="List Paragraph"/>
    <w:basedOn w:val="1"/>
    <w:qFormat/>
    <w:uiPriority w:val="34"/>
    <w:pPr>
      <w:ind w:left="720"/>
      <w:contextualSpacing/>
    </w:pPr>
  </w:style>
  <w:style w:type="character" w:customStyle="1" w:styleId="146">
    <w:name w:val="Body Text Char"/>
    <w:basedOn w:val="134"/>
    <w:link w:val="19"/>
    <w:qFormat/>
    <w:uiPriority w:val="99"/>
  </w:style>
  <w:style w:type="character" w:customStyle="1" w:styleId="147">
    <w:name w:val="Body Text 2 Char"/>
    <w:basedOn w:val="134"/>
    <w:link w:val="30"/>
    <w:qFormat/>
    <w:uiPriority w:val="99"/>
  </w:style>
  <w:style w:type="character" w:customStyle="1" w:styleId="148">
    <w:name w:val="Body Text 3 Char"/>
    <w:basedOn w:val="134"/>
    <w:link w:val="17"/>
    <w:qFormat/>
    <w:uiPriority w:val="99"/>
    <w:rPr>
      <w:sz w:val="16"/>
      <w:szCs w:val="16"/>
    </w:rPr>
  </w:style>
  <w:style w:type="character" w:customStyle="1" w:styleId="149">
    <w:name w:val="Macro Text Char"/>
    <w:basedOn w:val="134"/>
    <w:link w:val="2"/>
    <w:qFormat/>
    <w:uiPriority w:val="99"/>
    <w:rPr>
      <w:rFonts w:ascii="Courier" w:hAnsi="Courier"/>
      <w:sz w:val="20"/>
      <w:szCs w:val="20"/>
    </w:rPr>
  </w:style>
  <w:style w:type="paragraph" w:styleId="150">
    <w:name w:val="Quote"/>
    <w:basedOn w:val="1"/>
    <w:next w:val="1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Quote Char"/>
    <w:basedOn w:val="134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Heading 4 Char"/>
    <w:basedOn w:val="134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3">
    <w:name w:val="Heading 5 Char"/>
    <w:basedOn w:val="134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4">
    <w:name w:val="Heading 6 Char"/>
    <w:basedOn w:val="134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5">
    <w:name w:val="Heading 7 Char"/>
    <w:basedOn w:val="134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6">
    <w:name w:val="Heading 8 Char"/>
    <w:basedOn w:val="134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7">
    <w:name w:val="Heading 9 Char"/>
    <w:basedOn w:val="134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8">
    <w:name w:val="Intense Quote"/>
    <w:basedOn w:val="1"/>
    <w:next w:val="1"/>
    <w:link w:val="1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Intense Quote Char"/>
    <w:basedOn w:val="134"/>
    <w:link w:val="158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Emphasis"/>
    <w:basedOn w:val="134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1">
    <w:name w:val="Intense Emphasis"/>
    <w:basedOn w:val="134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Subtle Reference"/>
    <w:basedOn w:val="134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3">
    <w:name w:val="Intense Reference"/>
    <w:basedOn w:val="134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4">
    <w:name w:val="Book Title"/>
    <w:basedOn w:val="134"/>
    <w:qFormat/>
    <w:uiPriority w:val="33"/>
    <w:rPr>
      <w:b/>
      <w:bCs/>
      <w:smallCaps/>
      <w:spacing w:val="5"/>
    </w:rPr>
  </w:style>
  <w:style w:type="paragraph" w:customStyle="1" w:styleId="165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customXml" Target="../customXml/item1.xml"/><Relationship Id="rId12" Type="http://schemas.openxmlformats.org/officeDocument/2006/relationships/numbering" Target="numbering.xml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Office_11.8.2.11500_F1E327BC-269C-435d-A152-05C5408002CA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Django_manage 项目组</dc:creator>
  <dc:description>采用第一版样式，由 docs/用户操作手册.md 重新生成</dc:description>
  <cp:keywords>项目管理, 用户手册, 试验排产, 配方, 审批, 数据关系</cp:keywords>
  <cp:lastModifiedBy>xinchi.huo</cp:lastModifiedBy>
  <dcterms:modified xsi:type="dcterms:W3CDTF">2026-09-18T01:20:51Z</dcterms:modified>
  <dc:subject>Django_manage 项目管理系统业务操作指南</dc:subject>
  <dc:title>项目管理系统用户操作手册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2052-11.8.2.11500</vt:lpwstr>
  </property>
  <property fmtid="{D5CDD505-2E9C-101B-9397-08002B2CF9AE}" pid="3" name="ICV">
    <vt:lpwstr>6F57561CAF66481794E932B49E9D4188</vt:lpwstr>
  </property>
</Properties>
</file>