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6F5F2"/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MACHINE LEARNING CANVAS</w:t>
      </w:r>
      <w:r w:rsidDel="00000000" w:rsidR="00000000" w:rsidRPr="00000000"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.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14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  <w:color w:val="020094"/>
                <w:sz w:val="18"/>
                <w:szCs w:val="18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ageBreakBefore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¿Cuántos viajes se iniciarán en una estación o zona en un periodo futuro?</w:t>
            </w:r>
          </w:p>
          <w:p w:rsidR="00000000" w:rsidDel="00000000" w:rsidP="00000000" w:rsidRDefault="00000000" w:rsidRPr="00000000" w14:paraId="00000004">
            <w:pPr>
              <w:pageBreakBefore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¿Una estación estará en riesgo de quedarse sin bicicletas o sin anclajes disponibles en un periodo futuro?</w:t>
            </w:r>
          </w:p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"/>
              </w:numPr>
              <w:spacing w:after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grupos de estaciones comparten patrones de uso y dónde se ubican en la ciudad?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2"/>
            <w:bookmarkEnd w:id="2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P1: Proyección y margen de holgura sobre la demanda esperada. 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P2: Umbral de probabilidad de riesgo de estaciones que se queen sin capacidad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P3:Agrupar las cicloestaciones por comportamiento para definir perfiles operativos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3"/>
            <w:bookmarkEnd w:id="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B">
            <w:pPr>
              <w:pStyle w:val="Heading3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bookmarkStart w:colFirst="0" w:colLast="0" w:name="_dxjs2hhn8jih" w:id="4"/>
            <w:bookmarkEnd w:id="4"/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Los principales beneficiados son el operador de sistema para planificar la flota podrá estimar cuántas bicicletas solicitar en cada periodo; el equipo de rebalanceo de bicicletas podrá centrar esfuerzo en zonas donde se tengan que reabastecer  y el equipo de expansión de estaciones para tener una mejor planificación urbana 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5"/>
            <w:bookmarkEnd w:id="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pStyle w:val="Heading3"/>
              <w:spacing w:line="342.85714285714283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bookmarkStart w:colFirst="0" w:colLast="0" w:name="_gl046u7bewoo" w:id="6"/>
            <w:bookmarkEnd w:id="6"/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descargan los CSV mensuales y se unen en un solo dataset. En ese proceso se homologan los nombres de columnas y la codificación, y se eliminan los duplicados. Los datos originales se versionan para garantizar que el proceso sea reproducible. Cada mes que se publica un archivo nuevo, se agrega al dataset.</w:t>
            </w:r>
          </w:p>
          <w:p w:rsidR="00000000" w:rsidDel="00000000" w:rsidP="00000000" w:rsidRDefault="00000000" w:rsidRPr="00000000" w14:paraId="0000000F">
            <w:pPr>
              <w:pStyle w:val="Heading3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bycxw25eie8y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8"/>
            <w:bookmarkEnd w:id="8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bookmarkStart w:colFirst="0" w:colLast="0" w:name="_1oarvcepd5cm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Los datos se obtienen de 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bookmarkStart w:colFirst="0" w:colLast="0" w:name="_n3u64wcmv84e" w:id="10"/>
            <w:bookmarkEnd w:id="10"/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sz w:val="24"/>
                  <w:szCs w:val="24"/>
                  <w:u w:val="single"/>
                  <w:rtl w:val="0"/>
                </w:rPr>
                <w:t xml:space="preserve">https://mibici.net/es/datos-abiertos/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la sección del 2026 y nomenclatura de estaciones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1"/>
            <w:bookmarkEnd w:id="1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costo de una simulación acertada es poder tener la capacidad suficiente de bicicletas y estaciones para poder tener mayor número de suscripciones sin afectar al servicio 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5s79pjkaaapc" w:id="13"/>
            <w:bookmarkEnd w:id="1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predicciones son hechas de manera offline, con datos del  2026-04-01 00:00:26 al 2026-09-30 23:59:48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pageBreakBefore w:val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bookmarkStart w:colFirst="0" w:colLast="0" w:name="_81vf84j4p1ue" w:id="14"/>
            <w:bookmarkEnd w:id="14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necesitan 3 modelos, uno por pregunta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reentrenan cada mes, cuando se publica un archivo nuevo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experimentos se registran en MLFlow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15"/>
            <w:bookmarkEnd w:id="1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2">
            <w:pPr>
              <w:pStyle w:val="Heading3"/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bookmarkStart w:colFirst="0" w:colLast="0" w:name="_7efx3yacbscb" w:id="16"/>
            <w:bookmarkEnd w:id="16"/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Variables Temporales y Cíclicas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 Históricas y Rezagos Temporales (Lags)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Estadísticas Móviles (Rolling Windows)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 de Flujo de Red e Infraestructura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Vector de Características para Clustering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pageBreakBefore w:val="0"/>
              <w:rPr>
                <w:rFonts w:ascii="IBM Plex Sans" w:cs="IBM Plex Sans" w:eastAsia="IBM Plex Sans" w:hAnsi="IBM Plex Sans"/>
                <w:sz w:val="16"/>
                <w:szCs w:val="16"/>
              </w:rPr>
            </w:pPr>
            <w:bookmarkStart w:colFirst="0" w:colLast="0" w:name="_99rbzexhxp86" w:id="17"/>
            <w:bookmarkEnd w:id="17"/>
            <w:r w:rsidDel="00000000" w:rsidR="00000000" w:rsidRPr="00000000">
              <w:rPr>
                <w:rFonts w:ascii="IBM Plex Sans" w:cs="IBM Plex Sans" w:eastAsia="IBM Plex Sans" w:hAnsi="IBM Plex Sans"/>
                <w:sz w:val="16"/>
                <w:szCs w:val="16"/>
                <w:rtl w:val="0"/>
              </w:rPr>
              <w:t xml:space="preserve">MONITORING</w:t>
            </w:r>
          </w:p>
          <w:p w:rsidR="00000000" w:rsidDel="00000000" w:rsidP="00000000" w:rsidRDefault="00000000" w:rsidRPr="00000000" w14:paraId="00000029">
            <w:pPr>
              <w:pStyle w:val="Heading3"/>
              <w:pageBreakBefore w:val="0"/>
              <w:spacing w:after="20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bookmarkStart w:colFirst="0" w:colLast="0" w:name="_yrsc8mhn4oky" w:id="18"/>
            <w:bookmarkEnd w:id="18"/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El monitoreo se hará de manera offline usando MlFlow; en un caso real se tendería a medir KPI como eficiencia en las estaciones,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el gasto en adquirir más bicicletas por sobreestimar la demanda o el costo de mantener activa una estación cuyo flujo no alcanza para costearla.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r:id="rId21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r:id="rId22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color w:val="a35a00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left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hyperlink" Target="https://mibici.net/es/datos-abiertos/" TargetMode="External"/><Relationship Id="rId22" Type="http://schemas.openxmlformats.org/officeDocument/2006/relationships/hyperlink" Target="https://www.ownml.co/" TargetMode="External"/><Relationship Id="rId10" Type="http://schemas.openxmlformats.org/officeDocument/2006/relationships/image" Target="media/image5.png"/><Relationship Id="rId21" Type="http://schemas.openxmlformats.org/officeDocument/2006/relationships/hyperlink" Target="https://creativecommons.org/licenses/by-sa/4.0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0" Type="http://schemas.openxmlformats.org/officeDocument/2006/relationships/font" Target="fonts/Hind-bold.ttf"/><Relationship Id="rId9" Type="http://schemas.openxmlformats.org/officeDocument/2006/relationships/font" Target="fonts/Hind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