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99"/>
        <w:gridCol w:w="1034"/>
        <w:gridCol w:w="961"/>
        <w:gridCol w:w="1090"/>
        <w:gridCol w:w="1034"/>
        <w:gridCol w:w="961"/>
        <w:gridCol w:w="1090"/>
        <w:gridCol w:w="1034"/>
        <w:gridCol w:w="961"/>
        <w:gridCol w:w="1090"/>
      </w:tblGrid>
      <w:tr>
        <w:trPr>
          <w:trHeight w:val="573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</w:tr>
      <w:tr>
        <w:trPr>
          <w:trHeight w:val="57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-1.188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-1.473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-1.454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0.222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Position²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0.873</w:t>
            </w:r>
          </w:p>
        </w:tc>
      </w:tr>
      <w:tr>
        <w:trPr>
          <w:trHeight w:val="573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Dwell 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1,274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1,227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SE = Standard Error</w:t>
            </w:r>
          </w:p>
        </w:tc>
      </w:tr>
      <w:tr>
        <w:trPr>
          <w:trHeight w:val="360" w:hRule="auto"/>
        </w:trPr>
        footer2
        <w:tc>
          <w:tcPr>
            <w:gridSpan w:val="10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1,283 observations (at the participant × sponsored post level). beta = standardized regression coefficient (log odds ratio), SE = Standard Error. Brand fixed effects are included in all models. Explanatory variables are z-standardized. The reported dwell time measure captures log(dwell time) per vertical pixel.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haukeroggenkamp</cp:lastModifiedBy>
  <cp:revision>9</cp:revision>
  <dcterms:created xsi:type="dcterms:W3CDTF">2017-02-28T11:18:00Z</dcterms:created>
  <dcterms:modified xsi:type="dcterms:W3CDTF">2025-08-18T13:39:49Z</dcterms:modified>
  <cp:category/>
</cp:coreProperties>
</file>