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71B" w:rsidRPr="00E27F6E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66671B" w:rsidRPr="00E27F6E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66671B" w:rsidRPr="00E27F6E" w:rsidRDefault="0066671B" w:rsidP="006667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6671B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66671B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671B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671B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671B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671B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671B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671B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671B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6671B" w:rsidRPr="00E27F6E" w:rsidRDefault="0066671B" w:rsidP="00666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6671B" w:rsidRDefault="009A6520" w:rsidP="0066671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№2</w:t>
      </w:r>
    </w:p>
    <w:p w:rsidR="0066671B" w:rsidRDefault="0066671B" w:rsidP="0066671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курсу: «Розробка програмного забезпечення мобільних пристроїв»</w:t>
      </w:r>
    </w:p>
    <w:p w:rsidR="0066671B" w:rsidRDefault="0066671B" w:rsidP="0066671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66671B" w:rsidRDefault="0066671B" w:rsidP="0066671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66671B" w:rsidRDefault="0066671B" w:rsidP="0066671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66671B" w:rsidRDefault="0066671B" w:rsidP="0066671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66671B" w:rsidRPr="00F21BC5" w:rsidRDefault="0066671B" w:rsidP="0066671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21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A6520" w:rsidRPr="009A6520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="009A6520" w:rsidRPr="009A6520">
        <w:rPr>
          <w:rFonts w:ascii="Times New Roman" w:hAnsi="Times New Roman" w:cs="Times New Roman"/>
          <w:sz w:val="32"/>
          <w:szCs w:val="32"/>
        </w:rPr>
        <w:t>://</w:t>
      </w:r>
      <w:r w:rsidR="009A6520" w:rsidRPr="009A6520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="009A6520" w:rsidRPr="009A6520">
        <w:rPr>
          <w:rFonts w:ascii="Times New Roman" w:hAnsi="Times New Roman" w:cs="Times New Roman"/>
          <w:sz w:val="32"/>
          <w:szCs w:val="32"/>
        </w:rPr>
        <w:t>.</w:t>
      </w:r>
      <w:r w:rsidR="009A6520" w:rsidRPr="009A6520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="009A6520" w:rsidRPr="009A6520">
        <w:rPr>
          <w:rFonts w:ascii="Times New Roman" w:hAnsi="Times New Roman" w:cs="Times New Roman"/>
          <w:sz w:val="32"/>
          <w:szCs w:val="32"/>
        </w:rPr>
        <w:t>/</w:t>
      </w:r>
      <w:r w:rsidR="009A6520" w:rsidRPr="009A6520">
        <w:rPr>
          <w:rFonts w:ascii="Times New Roman" w:hAnsi="Times New Roman" w:cs="Times New Roman"/>
          <w:sz w:val="32"/>
          <w:szCs w:val="32"/>
          <w:lang w:val="en-US"/>
        </w:rPr>
        <w:t>Hoychuk</w:t>
      </w:r>
      <w:r w:rsidR="009A6520" w:rsidRPr="009A6520">
        <w:rPr>
          <w:rFonts w:ascii="Times New Roman" w:hAnsi="Times New Roman" w:cs="Times New Roman"/>
          <w:sz w:val="32"/>
          <w:szCs w:val="32"/>
        </w:rPr>
        <w:t>/</w:t>
      </w:r>
      <w:r w:rsidR="009A6520" w:rsidRPr="009A6520">
        <w:rPr>
          <w:rFonts w:ascii="Times New Roman" w:hAnsi="Times New Roman" w:cs="Times New Roman"/>
          <w:sz w:val="32"/>
          <w:szCs w:val="32"/>
          <w:lang w:val="en-US"/>
        </w:rPr>
        <w:t>Mob</w:t>
      </w:r>
      <w:r w:rsidR="009A6520" w:rsidRPr="009A6520">
        <w:rPr>
          <w:rFonts w:ascii="Times New Roman" w:hAnsi="Times New Roman" w:cs="Times New Roman"/>
          <w:sz w:val="32"/>
          <w:szCs w:val="32"/>
        </w:rPr>
        <w:t>_</w:t>
      </w:r>
      <w:r w:rsidR="009A6520" w:rsidRPr="009A6520">
        <w:rPr>
          <w:rFonts w:ascii="Times New Roman" w:hAnsi="Times New Roman" w:cs="Times New Roman"/>
          <w:sz w:val="32"/>
          <w:szCs w:val="32"/>
          <w:lang w:val="en-US"/>
        </w:rPr>
        <w:t>dev</w:t>
      </w:r>
      <w:r w:rsidR="009A6520" w:rsidRPr="009A6520">
        <w:rPr>
          <w:rFonts w:ascii="Times New Roman" w:hAnsi="Times New Roman" w:cs="Times New Roman"/>
          <w:sz w:val="32"/>
          <w:szCs w:val="32"/>
        </w:rPr>
        <w:t>.</w:t>
      </w:r>
      <w:r w:rsidR="009A6520" w:rsidRPr="009A6520">
        <w:rPr>
          <w:rFonts w:ascii="Times New Roman" w:hAnsi="Times New Roman" w:cs="Times New Roman"/>
          <w:sz w:val="32"/>
          <w:szCs w:val="32"/>
          <w:lang w:val="en-US"/>
        </w:rPr>
        <w:t>git</w:t>
      </w:r>
    </w:p>
    <w:p w:rsidR="0066671B" w:rsidRDefault="0066671B" w:rsidP="0066671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6671B" w:rsidRDefault="0066671B" w:rsidP="0066671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66671B" w:rsidRDefault="0066671B" w:rsidP="0066671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66671B" w:rsidRDefault="0066671B" w:rsidP="0066671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66671B" w:rsidRPr="00517D7D" w:rsidRDefault="009A6520" w:rsidP="0066671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Лабораторна робота №2</w:t>
      </w:r>
    </w:p>
    <w:p w:rsidR="0066671B" w:rsidRDefault="0066671B" w:rsidP="0066671B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Завдання:</w:t>
      </w:r>
    </w:p>
    <w:p w:rsidR="0066671B" w:rsidRPr="00214E02" w:rsidRDefault="0066671B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Написати мобільний калькулятор для розрахунку валових викидів шкідливих речовин у</w:t>
      </w:r>
      <w:r w:rsidR="00214E02"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вигляді суспендованих твердих частинок при спалювання вугілля, мазуту та природного газу</w:t>
      </w:r>
      <w:r w:rsidR="00214E02"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якщо розглядається:</w:t>
      </w:r>
    </w:p>
    <w:p w:rsidR="00333990" w:rsidRDefault="0066671B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Енергоблок з котлом, призначеним для факельного спалювання вугілля з високим</w:t>
      </w:r>
      <w:r w:rsidR="00214E02"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 xml:space="preserve">вмістом летких, типу газового або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довгополуменевого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, з рідким шлаковидаленням. Номінальна</w:t>
      </w:r>
      <w:r w:rsidR="00214E02"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паропродуктивність котла енергоблока становить 950 т/год, а середня фактична</w:t>
      </w:r>
      <w:r w:rsidR="00214E02"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паропродуктивність – 760 т/год. На ньому застосовується ступенева подача повітря та</w:t>
      </w:r>
      <w:r w:rsidR="00214E02"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рециркуляція димових газів. Пароперегрівачі котла очищуються при зупинці блока. Для</w:t>
      </w:r>
      <w:r w:rsidR="00214E02"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уловлювання твердих частинок використовується електростатичний фільтр типу ЕГА з</w:t>
      </w:r>
      <w:r w:rsidR="00214E02"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>ефективністю золовловлення 0,985.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Установки для очищення димових газів від оксидів азоту та сірки відсутні.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За звітний період використовувалось таке паливо: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донецьке газове вугілля марки ГР – 1.096.363 т;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високосірчистий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 xml:space="preserve"> мазут марки 40 – 70.945 т;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природний газ із газопроводу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Уренгой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-Ужгород – 84 762 тис. м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За даними елементного та технічного аналізу склад робочої маси вугілля наступний, %: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вуглець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C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52,49;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водень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3,50;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кисень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O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>
        <w:rPr>
          <w:rFonts w:ascii="Times New Roman" w:hAnsi="Times New Roman" w:cs="Times New Roman"/>
          <w:sz w:val="28"/>
          <w:lang w:val="uk-UA"/>
        </w:rPr>
        <w:t>) – 4,99;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азот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N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0,97;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сірка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S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2,85;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зола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A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25,20;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волога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W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10,00;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леткі речовини (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V</w:t>
      </w:r>
      <w:r w:rsidRPr="00214E02">
        <w:rPr>
          <w:rFonts w:ascii="Times New Roman" w:hAnsi="Times New Roman" w:cs="Times New Roman"/>
          <w:sz w:val="28"/>
          <w:vertAlign w:val="superscript"/>
          <w:lang w:val="uk-UA"/>
        </w:rPr>
        <w:t>r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) – 25,92.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Нижча теплота згоряння робочої маси вугілля становить 20,47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МДж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/кг. Технічний аналіз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 xml:space="preserve">уловленої золи та шлаку показав, що масовий вміст горючих речовин у леткій золі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Гвин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14E02">
        <w:rPr>
          <w:rFonts w:ascii="Times New Roman" w:hAnsi="Times New Roman" w:cs="Times New Roman"/>
          <w:sz w:val="28"/>
          <w:lang w:val="uk-UA"/>
        </w:rPr>
        <w:t xml:space="preserve">дорівнює 1,5 %, а в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шлаці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Гшл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 xml:space="preserve"> – 0,5 %.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lastRenderedPageBreak/>
        <w:t xml:space="preserve">За даними таблиці А.3 (додаток А) склад горючої маси мазуту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настуgний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, %: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вуглець – 85,50;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водень – 11,20;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кисень та азот – 0,80;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сірка – 2,50;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нижча теплота згоряння горючої маси мазуту дорівнює 40,40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МДж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/кг;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вологість робочої маси палива – 2,00 %;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зольність сухої маси – 0,15 %;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вміст ва</w:t>
      </w:r>
      <w:r>
        <w:rPr>
          <w:rFonts w:ascii="Times New Roman" w:hAnsi="Times New Roman" w:cs="Times New Roman"/>
          <w:sz w:val="28"/>
          <w:lang w:val="uk-UA"/>
        </w:rPr>
        <w:t>надію (V) – 333,3 мг/кг (= 2222*</w:t>
      </w:r>
      <w:r w:rsidRPr="00214E02">
        <w:rPr>
          <w:rFonts w:ascii="Times New Roman" w:hAnsi="Times New Roman" w:cs="Times New Roman"/>
          <w:sz w:val="28"/>
          <w:lang w:val="uk-UA"/>
        </w:rPr>
        <w:t>0,15).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За даними таблиці А.3 (додаток А) об’ємний склад сухої маси природного газу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становить, %: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метан (CH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214E02">
        <w:rPr>
          <w:rFonts w:ascii="Times New Roman" w:hAnsi="Times New Roman" w:cs="Times New Roman"/>
          <w:sz w:val="28"/>
          <w:lang w:val="uk-UA"/>
        </w:rPr>
        <w:t>) – 98,90;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етан (C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6</w:t>
      </w:r>
      <w:r w:rsidRPr="00214E02">
        <w:rPr>
          <w:rFonts w:ascii="Times New Roman" w:hAnsi="Times New Roman" w:cs="Times New Roman"/>
          <w:sz w:val="28"/>
          <w:lang w:val="uk-UA"/>
        </w:rPr>
        <w:t>) – 0,12;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пропан (C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8</w:t>
      </w:r>
      <w:r w:rsidRPr="00214E02">
        <w:rPr>
          <w:rFonts w:ascii="Times New Roman" w:hAnsi="Times New Roman" w:cs="Times New Roman"/>
          <w:sz w:val="28"/>
          <w:lang w:val="uk-UA"/>
        </w:rPr>
        <w:t>) – 0,011;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бутан (C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Pr="00214E02">
        <w:rPr>
          <w:rFonts w:ascii="Times New Roman" w:hAnsi="Times New Roman" w:cs="Times New Roman"/>
          <w:sz w:val="28"/>
          <w:lang w:val="uk-UA"/>
        </w:rPr>
        <w:t>H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10</w:t>
      </w:r>
      <w:r w:rsidRPr="00214E02">
        <w:rPr>
          <w:rFonts w:ascii="Times New Roman" w:hAnsi="Times New Roman" w:cs="Times New Roman"/>
          <w:sz w:val="28"/>
          <w:lang w:val="uk-UA"/>
        </w:rPr>
        <w:t>) – 0,01;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вуглекислий газ (CO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214E02">
        <w:rPr>
          <w:rFonts w:ascii="Times New Roman" w:hAnsi="Times New Roman" w:cs="Times New Roman"/>
          <w:sz w:val="28"/>
          <w:lang w:val="uk-UA"/>
        </w:rPr>
        <w:t>) – 0,06;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- азот (N</w:t>
      </w:r>
      <w:r w:rsidRPr="00214E0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>) – 0,90;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 xml:space="preserve">- об’ємна нижча теплота згоряння газу дорівнює 33,08 </w:t>
      </w:r>
      <w:proofErr w:type="spellStart"/>
      <w:r w:rsidRPr="00214E02">
        <w:rPr>
          <w:rFonts w:ascii="Times New Roman" w:hAnsi="Times New Roman" w:cs="Times New Roman"/>
          <w:sz w:val="28"/>
          <w:lang w:val="uk-UA"/>
        </w:rPr>
        <w:t>МДж</w:t>
      </w:r>
      <w:proofErr w:type="spellEnd"/>
      <w:r w:rsidRPr="00214E02">
        <w:rPr>
          <w:rFonts w:ascii="Times New Roman" w:hAnsi="Times New Roman" w:cs="Times New Roman"/>
          <w:sz w:val="28"/>
          <w:lang w:val="uk-UA"/>
        </w:rPr>
        <w:t>/м3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sz w:val="28"/>
          <w:lang w:val="uk-UA"/>
        </w:rPr>
        <w:t>- густина – 0,723 кг/м3 при нормальних умовах.</w:t>
      </w:r>
    </w:p>
    <w:p w:rsidR="00214E02" w:rsidRPr="00214E02" w:rsidRDefault="00214E02" w:rsidP="00214E02">
      <w:pPr>
        <w:ind w:firstLine="708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214E02">
        <w:rPr>
          <w:rFonts w:ascii="Times New Roman" w:hAnsi="Times New Roman" w:cs="Times New Roman"/>
          <w:b/>
          <w:sz w:val="32"/>
          <w:lang w:val="uk-UA"/>
        </w:rPr>
        <w:t>Завдання за номером варіанту:</w:t>
      </w:r>
    </w:p>
    <w:p w:rsidR="00214E02" w:rsidRDefault="00214E02" w:rsidP="00214E02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14E0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315C0F4" wp14:editId="07864C60">
            <wp:extent cx="5940425" cy="3623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2" w:rsidRDefault="00214E02" w:rsidP="00214E02">
      <w:pPr>
        <w:ind w:firstLine="708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214E02">
        <w:rPr>
          <w:rFonts w:ascii="Times New Roman" w:hAnsi="Times New Roman" w:cs="Times New Roman"/>
          <w:b/>
          <w:sz w:val="32"/>
          <w:lang w:val="uk-UA"/>
        </w:rPr>
        <w:t>Хід виконання:</w:t>
      </w:r>
    </w:p>
    <w:p w:rsidR="00214E02" w:rsidRDefault="00214E02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Спочатку реалізуємо дизайн першої сторінки, на якій будуть наявні поля, де будуть вводитися, потрібні нам коефіцієнти:</w:t>
      </w:r>
    </w:p>
    <w:p w:rsidR="00214E02" w:rsidRDefault="004A5FB0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A5FB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4FCCDE0" wp14:editId="12DF9611">
            <wp:extent cx="1882140" cy="3936228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550" cy="39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2" w:rsidRDefault="00214E02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Наступним кроком буде прив’язання кожного з полів до певної змінної, для можливості зчитування введеної користувачем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інформації</w:t>
      </w:r>
      <w:r w:rsidR="004A5FB0">
        <w:rPr>
          <w:rFonts w:ascii="Times New Roman" w:hAnsi="Times New Roman" w:cs="Times New Roman"/>
          <w:sz w:val="32"/>
          <w:szCs w:val="32"/>
          <w:lang w:val="uk-UA"/>
        </w:rPr>
        <w:t>. Також уводимо константу зі значенням густини природнього газу, яка необхідна для обрахунку його маси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214E02" w:rsidRDefault="004A5FB0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A5FB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F103148" wp14:editId="1CD72DDA">
            <wp:extent cx="4953000" cy="268377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907" cy="268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2" w:rsidRDefault="00214E02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реалізуємо логіку нашої сторінки, а саме зчитування уведених даних, при нажаті кнопки, та їх обробка:</w:t>
      </w:r>
    </w:p>
    <w:p w:rsidR="00214E02" w:rsidRDefault="004A5FB0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A5FB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853AB95" wp14:editId="663BE286">
            <wp:extent cx="5940425" cy="3063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2" w:rsidRDefault="00214E02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Наступним, ми передаємо дані результати до іншої сторінки, на якій їх нам буде показано у більш зручному виді:</w:t>
      </w:r>
    </w:p>
    <w:p w:rsidR="00214E02" w:rsidRDefault="004A5FB0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A5FB0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06BF4985" wp14:editId="294999F4">
            <wp:extent cx="5940425" cy="26327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2" w:rsidRDefault="00214E02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було створюємо дизайн та реалізовуємо іншу сторінку, на якій користувач отримує розраховані результати:</w:t>
      </w:r>
    </w:p>
    <w:p w:rsidR="00214E02" w:rsidRPr="00517D7D" w:rsidRDefault="00517D7D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517D7D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6203EB82" wp14:editId="70B40535">
            <wp:extent cx="1973580" cy="4226252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3349" cy="42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2" w:rsidRDefault="00214E02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Відразу після цього ми знову прив’язуємо кожне з полів до певної змінної:</w:t>
      </w:r>
    </w:p>
    <w:p w:rsidR="00214E02" w:rsidRDefault="004A5FB0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A5FB0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521215B5" wp14:editId="7E251B46">
            <wp:extent cx="5940425" cy="3756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2" w:rsidRDefault="00214E02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Після чого відбувається отримання переданих даних та їх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переприсвоєння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для подальшого виведення користувачу:</w:t>
      </w:r>
    </w:p>
    <w:p w:rsidR="00214E02" w:rsidRDefault="004A5FB0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A5FB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D768A9A" wp14:editId="236BBCA1">
            <wp:extent cx="5940425" cy="3799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2" w:rsidRDefault="00214E02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кінець, реалізована логіка кнопки, яка після спрацювання повертає нас на попередній екран:</w:t>
      </w:r>
    </w:p>
    <w:p w:rsidR="00214E02" w:rsidRDefault="004A5FB0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4A5FB0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B294BF1" wp14:editId="2F31ADF3">
            <wp:extent cx="5940425" cy="12439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2" w:rsidRDefault="00214E02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контрольного прикладу:</w:t>
      </w:r>
    </w:p>
    <w:p w:rsidR="00214E02" w:rsidRDefault="004A5FB0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A5FB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572318D" wp14:editId="18E3C644">
            <wp:extent cx="1943100" cy="40988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157" cy="41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D7D" w:rsidRPr="00517D7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786C311" wp14:editId="5C1F792B">
            <wp:extent cx="1910858" cy="409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2959" cy="41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2" w:rsidRDefault="00214E02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за вказаним у завданні варіантом:</w:t>
      </w:r>
    </w:p>
    <w:p w:rsidR="00214E02" w:rsidRPr="00517D7D" w:rsidRDefault="009A6520" w:rsidP="00214E02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A6520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5C91B09" wp14:editId="145B9571">
            <wp:extent cx="1957387" cy="4086225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2380" cy="4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D7D" w:rsidRPr="00517D7D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049412BD" wp14:editId="0A1A8E3E">
            <wp:extent cx="1912620" cy="4099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1780" cy="414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520" w:rsidRDefault="009A6520" w:rsidP="009A652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7DDE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214E02" w:rsidRPr="009A6520" w:rsidRDefault="009A6520" w:rsidP="009A6520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У результаті виконання практичної роботи №2 було засвоєно просунуті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арифметричні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операції та реалізовано калькулятор, функція якого складається з розрахунку валового викиду твердих частинок при спалюванні Донецького газового вугілля марки ГР,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високосірчистого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мазуту марки 40 та природнього газу, по введених значеннях, за допомогою мови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. Потрібно відзначити, що при розрахунку викиду твердих частинок газу завжди буде отримано нуль, тому що в природньому газі відсутні тверді залишки. </w:t>
      </w:r>
    </w:p>
    <w:sectPr w:rsidR="00214E02" w:rsidRPr="009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1B"/>
    <w:rsid w:val="00214E02"/>
    <w:rsid w:val="00333990"/>
    <w:rsid w:val="004A5FB0"/>
    <w:rsid w:val="00517D7D"/>
    <w:rsid w:val="0066671B"/>
    <w:rsid w:val="009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15CA8-FD10-4C5C-9D2D-1908F6D7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3</cp:revision>
  <dcterms:created xsi:type="dcterms:W3CDTF">2024-10-03T14:23:00Z</dcterms:created>
  <dcterms:modified xsi:type="dcterms:W3CDTF">2024-10-07T11:11:00Z</dcterms:modified>
</cp:coreProperties>
</file>