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drawing>
          <wp:inline distT="0" distB="0" distL="0" distR="0">
            <wp:extent cx="2066925" cy="733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200"/>
        <w:jc w:val="center"/>
      </w:pPr>
      <w:r>
        <w:rPr>
          <w:rFonts w:ascii="Calibri" w:cs="Calibri" w:eastAsia="Calibri" w:hAnsi="Calibri"/>
          <w:b/>
          <w:bCs/>
          <w:color w:val="38B090"/>
          <w:sz w:val="20"/>
          <w:szCs w:val="20"/>
        </w:rPr>
        <w:t xml:space="preserve">AI ENGINEERING TRACK · MODULE 2 PROJECT</w:t>
      </w:r>
    </w:p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4A3870"/>
          <w:sz w:val="40"/>
          <w:szCs w:val="40"/>
        </w:rPr>
        <w:t xml:space="preserve">Churn Prediction for Wasla Telecom</w:t>
      </w:r>
    </w:p>
    <w:p>
      <w:pPr>
        <w:pBdr>
          <w:bottom w:val="single" w:color="A080B8" w:sz="12" w:space="8"/>
        </w:pBdr>
        <w:spacing w:after="400"/>
        <w:jc w:val="center"/>
      </w:pPr>
      <w:r>
        <w:rPr>
          <w:rFonts w:ascii="Calibri" w:cs="Calibri" w:eastAsia="Calibri" w:hAnsi="Calibri"/>
          <w:i/>
          <w:iCs/>
          <w:color w:val="6B6B6B"/>
          <w:sz w:val="21"/>
          <w:szCs w:val="21"/>
        </w:rPr>
        <w:t xml:space="preserve">Prepared by Hozaifa Moustafa · Arabian Academy</w:t>
      </w:r>
    </w:p>
    <w:p>
      <w:pPr>
        <w:pBdr>
          <w:bottom w:val="single" w:color="38B090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4A3870"/>
          <w:sz w:val="27"/>
          <w:szCs w:val="27"/>
        </w:rPr>
        <w:t xml:space="preserve">The Client Brief</w:t>
      </w:r>
    </w:p>
    <w:p>
      <w:pPr>
        <w:spacing w:after="160" w:line="300"/>
      </w:pPr>
      <w:r>
        <w:rPr>
          <w:rFonts w:ascii="Calibri" w:cs="Calibri" w:eastAsia="Calibri" w:hAnsi="Calibri"/>
          <w:color w:val="2B2B2B"/>
          <w:sz w:val="22"/>
          <w:szCs w:val="22"/>
        </w:rPr>
        <w:t xml:space="preserve">Wasla Telecom (​وصلة​ — “connection”) is a mid-size telecom operator serving customers across the region. Over the past year, Wasla lost roughly 27% of its subscriber base to churn — customers cancelling their plans and switching to a competitor. Every cancelled contract is lost recurring revenue, and by the time a customer actually cancels, it's already too late to win them back.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color w:val="2B2B2B"/>
          <w:sz w:val="22"/>
          <w:szCs w:val="22"/>
        </w:rPr>
        <w:t xml:space="preserve">Wasla's VP of Customer Retention, Mona Adel, has brought your team in as data science consultants with one mission:</w:t>
      </w:r>
    </w:p>
    <w:p>
      <w:pPr>
        <w:spacing w:after="200" w:before="80"/>
        <w:ind w:left="431"/>
      </w:pPr>
      <w:r>
        <w:rPr>
          <w:rFonts w:ascii="Calibri" w:cs="Calibri" w:eastAsia="Calibri" w:hAnsi="Calibri"/>
          <w:i/>
          <w:iCs/>
          <w:color w:val="4A3870"/>
          <w:sz w:val="22"/>
          <w:szCs w:val="22"/>
        </w:rPr>
        <w:t xml:space="preserve">“Tell us which customers are at risk of leaving before they leave — and tell us why — so our retention team can step in early.”</w:t>
      </w:r>
    </w:p>
    <w:p>
      <w:pPr>
        <w:spacing w:after="160" w:line="300"/>
      </w:pPr>
      <w:r>
        <w:rPr>
          <w:rFonts w:ascii="Calibri" w:cs="Calibri" w:eastAsia="Calibri" w:hAnsi="Calibri"/>
          <w:color w:val="2B2B2B"/>
          <w:sz w:val="22"/>
          <w:szCs w:val="22"/>
        </w:rPr>
        <w:t xml:space="preserve">This is a real, well-studied dataset of actual customer records (not simulated), so the patterns you find are genuine business signal, not manufactured examples.</w:t>
      </w:r>
    </w:p>
    <w:p>
      <w:pPr>
        <w:pBdr>
          <w:bottom w:val="single" w:color="38B090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4A3870"/>
          <w:sz w:val="27"/>
          <w:szCs w:val="27"/>
        </w:rPr>
        <w:t xml:space="preserve">Your Task</w:t>
      </w:r>
    </w:p>
    <w:p>
      <w:pPr>
        <w:spacing w:after="100" w:before="220"/>
      </w:pPr>
      <w:r>
        <w:rPr>
          <w:rFonts w:ascii="Calibri" w:cs="Calibri" w:eastAsia="Calibri" w:hAnsi="Calibri"/>
          <w:b/>
          <w:bCs/>
          <w:color w:val="685098"/>
          <w:sz w:val="23"/>
          <w:szCs w:val="23"/>
        </w:rPr>
        <w:t xml:space="preserve">Step 1 — Explore the Records (EDA)</w:t>
      </w:r>
    </w:p>
    <w:p>
      <w:pPr>
        <w:spacing w:after="160" w:line="300"/>
      </w:pPr>
      <w:r>
        <w:rPr>
          <w:rFonts w:ascii="Calibri" w:cs="Calibri" w:eastAsia="Calibri" w:hAnsi="Calibri"/>
          <w:color w:val="2B2B2B"/>
          <w:sz w:val="22"/>
          <w:szCs w:val="22"/>
        </w:rPr>
        <w:t xml:space="preserve">Understand who's churning and look for patterns across contract type, tenure, billing, and add-on services. Pay close attention to data types — one column in particular hides a bug that only shows up if you check carefully.</w:t>
      </w:r>
    </w:p>
    <w:p>
      <w:pPr>
        <w:spacing w:after="100" w:before="220"/>
      </w:pPr>
      <w:r>
        <w:rPr>
          <w:rFonts w:ascii="Calibri" w:cs="Calibri" w:eastAsia="Calibri" w:hAnsi="Calibri"/>
          <w:b/>
          <w:bCs/>
          <w:color w:val="685098"/>
          <w:sz w:val="23"/>
          <w:szCs w:val="23"/>
        </w:rPr>
        <w:t xml:space="preserve">Step 2 — Clean &amp; Preprocess</w:t>
      </w:r>
    </w:p>
    <w:p>
      <w:pPr>
        <w:spacing w:after="160" w:line="300"/>
      </w:pPr>
      <w:r>
        <w:rPr>
          <w:rFonts w:ascii="Calibri" w:cs="Calibri" w:eastAsia="Calibri" w:hAnsi="Calibri"/>
          <w:color w:val="2B2B2B"/>
          <w:sz w:val="22"/>
          <w:szCs w:val="22"/>
        </w:rPr>
        <w:t xml:space="preserve">Fix the hidden data-type issue, encode categorical fields consistently, and scale where needed.</w:t>
      </w:r>
    </w:p>
    <w:p>
      <w:pPr>
        <w:spacing w:after="100" w:before="220"/>
      </w:pPr>
      <w:r>
        <w:rPr>
          <w:rFonts w:ascii="Calibri" w:cs="Calibri" w:eastAsia="Calibri" w:hAnsi="Calibri"/>
          <w:b/>
          <w:bCs/>
          <w:color w:val="685098"/>
          <w:sz w:val="23"/>
          <w:szCs w:val="23"/>
        </w:rPr>
        <w:t xml:space="preserve">Step 3 — Train Multiple Models</w:t>
      </w:r>
    </w:p>
    <w:p>
      <w:pPr>
        <w:spacing w:after="160" w:line="300"/>
      </w:pPr>
      <w:r>
        <w:rPr>
          <w:rFonts w:ascii="Calibri" w:cs="Calibri" w:eastAsia="Calibri" w:hAnsi="Calibri"/>
          <w:color w:val="2B2B2B"/>
          <w:sz w:val="22"/>
          <w:szCs w:val="22"/>
        </w:rPr>
        <w:t xml:space="preserve">Train Logistic Regression, Random Forest, and XGBoost, and compare them fairly using cross-validation.</w:t>
      </w:r>
    </w:p>
    <w:p>
      <w:pPr>
        <w:spacing w:after="100" w:before="220"/>
      </w:pPr>
      <w:r>
        <w:rPr>
          <w:rFonts w:ascii="Calibri" w:cs="Calibri" w:eastAsia="Calibri" w:hAnsi="Calibri"/>
          <w:b/>
          <w:bCs/>
          <w:color w:val="685098"/>
          <w:sz w:val="23"/>
          <w:szCs w:val="23"/>
        </w:rPr>
        <w:t xml:space="preserve">Step 4 — Select the Best Model</w:t>
      </w:r>
    </w:p>
    <w:p>
      <w:pPr>
        <w:spacing w:after="160" w:line="300"/>
      </w:pPr>
      <w:r>
        <w:rPr>
          <w:rFonts w:ascii="Calibri" w:cs="Calibri" w:eastAsia="Calibri" w:hAnsi="Calibri"/>
          <w:color w:val="2B2B2B"/>
          <w:sz w:val="22"/>
          <w:szCs w:val="22"/>
        </w:rPr>
        <w:t xml:space="preserve">Choose an evaluation metric that actually matters here — remember, only about 1 in 4 customers churn, so accuracy alone can be misleading.</w:t>
      </w:r>
    </w:p>
    <w:p>
      <w:pPr>
        <w:spacing w:after="100" w:before="220"/>
      </w:pPr>
      <w:r>
        <w:rPr>
          <w:rFonts w:ascii="Calibri" w:cs="Calibri" w:eastAsia="Calibri" w:hAnsi="Calibri"/>
          <w:b/>
          <w:bCs/>
          <w:color w:val="685098"/>
          <w:sz w:val="23"/>
          <w:szCs w:val="23"/>
        </w:rPr>
        <w:t xml:space="preserve">Step 5 — Write the Evaluation Report</w:t>
      </w:r>
    </w:p>
    <w:p>
      <w:pPr>
        <w:spacing w:after="160" w:line="300"/>
      </w:pPr>
      <w:r>
        <w:rPr>
          <w:rFonts w:ascii="Calibri" w:cs="Calibri" w:eastAsia="Calibri" w:hAnsi="Calibri"/>
          <w:color w:val="2B2B2B"/>
          <w:sz w:val="22"/>
          <w:szCs w:val="22"/>
        </w:rPr>
        <w:t xml:space="preserve">Turn your model into a set of practical recommendations Wasla's retention team can act on — e.g., “customers on month-to-month contracts with no tech support are far more likely to churn — prioritize outreach to this group first.”</w:t>
      </w:r>
    </w:p>
    <w:p>
      <w:pPr>
        <w:pBdr>
          <w:bottom w:val="single" w:color="38B090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4A3870"/>
          <w:sz w:val="27"/>
          <w:szCs w:val="27"/>
        </w:rPr>
        <w:t xml:space="preserve">The Dataset</w:t>
      </w:r>
    </w:p>
    <w:p>
      <w:pPr>
        <w:spacing w:after="160" w:line="300"/>
      </w:pPr>
      <w:r>
        <w:rPr>
          <w:rFonts w:ascii="Calibri" w:cs="Calibri" w:eastAsia="Calibri" w:hAnsi="Calibri"/>
          <w:b/>
          <w:bCs/>
          <w:color w:val="2B2B2B"/>
          <w:sz w:val="22"/>
          <w:szCs w:val="22"/>
        </w:rPr>
        <w:t xml:space="preserve">File: wasla_customer_records.csv     ·     7,043 customer records     ·     21 fields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0"/>
        <w:gridCol w:w="6700"/>
      </w:tblGrid>
      <w:tr>
        <w:tc>
          <w:tcPr>
            <w:tcW w:type="dxa" w:w="2650"/>
            <w:shd w:fill="685098" w:color="auto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Category</w:t>
            </w:r>
          </w:p>
        </w:tc>
        <w:tc>
          <w:tcPr>
            <w:tcW w:type="dxa" w:w="6700"/>
            <w:shd w:fill="685098" w:color="auto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Fields</w:t>
            </w:r>
          </w:p>
        </w:tc>
      </w:tr>
      <w:tr>
        <w:tc>
          <w:tcPr>
            <w:tcW w:type="dxa" w:w="2650"/>
            <w:shd w:fill="F4F1F8" w:color="auto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21"/>
                <w:szCs w:val="21"/>
              </w:rPr>
              <w:t xml:space="preserve">Demographics</w:t>
            </w:r>
          </w:p>
        </w:tc>
        <w:tc>
          <w:tcPr>
            <w:tcW w:type="dxa" w:w="6700"/>
            <w:shd w:fill="F4F1F8" w:color="auto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21"/>
                <w:szCs w:val="21"/>
              </w:rPr>
              <w:t xml:space="preserve">gender, SeniorCitizen, Partner, Dependents</w:t>
            </w:r>
          </w:p>
        </w:tc>
      </w:tr>
      <w:tr>
        <w:tc>
          <w:tcPr>
            <w:tcW w:type="dxa" w:w="2650"/>
            <w:shd w:fill="F4F1F8" w:color="auto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21"/>
                <w:szCs w:val="21"/>
              </w:rPr>
              <w:t xml:space="preserve">Account details</w:t>
            </w:r>
          </w:p>
        </w:tc>
        <w:tc>
          <w:tcPr>
            <w:tcW w:type="dxa" w:w="6700"/>
            <w:shd w:fill="F4F1F8" w:color="auto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21"/>
                <w:szCs w:val="21"/>
              </w:rPr>
              <w:t xml:space="preserve">tenure, Contract, PaperlessBilling, PaymentMethod, MonthlyCharges, TotalCharges</w:t>
            </w:r>
          </w:p>
        </w:tc>
      </w:tr>
      <w:tr>
        <w:tc>
          <w:tcPr>
            <w:tcW w:type="dxa" w:w="2650"/>
            <w:shd w:fill="F4F1F8" w:color="auto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21"/>
                <w:szCs w:val="21"/>
              </w:rPr>
              <w:t xml:space="preserve">Services subscribed</w:t>
            </w:r>
          </w:p>
        </w:tc>
        <w:tc>
          <w:tcPr>
            <w:tcW w:type="dxa" w:w="6700"/>
            <w:shd w:fill="F4F1F8" w:color="auto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21"/>
                <w:szCs w:val="21"/>
              </w:rPr>
              <w:t xml:space="preserve">PhoneService, MultipleLines, InternetService, OnlineSecurity, OnlineBackup, DeviceProtection, TechSupport, StreamingTV, StreamingMovies</w:t>
            </w:r>
          </w:p>
        </w:tc>
      </w:tr>
      <w:tr>
        <w:tc>
          <w:tcPr>
            <w:tcW w:type="dxa" w:w="2650"/>
            <w:shd w:fill="F4F1F8" w:color="auto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21"/>
                <w:szCs w:val="21"/>
              </w:rPr>
              <w:t xml:space="preserve">Target</w:t>
            </w:r>
          </w:p>
        </w:tc>
        <w:tc>
          <w:tcPr>
            <w:tcW w:type="dxa" w:w="6700"/>
            <w:shd w:fill="F4F1F8" w:color="auto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21"/>
                <w:szCs w:val="21"/>
              </w:rPr>
              <w:t xml:space="preserve">Churn (Yes / No) — whether the customer left Wasla</w:t>
            </w:r>
          </w:p>
        </w:tc>
      </w:tr>
    </w:tbl>
    <w:p>
      <w:pPr>
        <w:spacing w:after="100" w:before="160"/>
      </w:pPr>
      <w:r>
        <w:rPr>
          <w:rFonts w:ascii="Calibri" w:cs="Calibri" w:eastAsia="Calibri" w:hAnsi="Calibri"/>
          <w:i/>
          <w:iCs/>
          <w:color w:val="6B6B6B"/>
          <w:sz w:val="21"/>
          <w:szCs w:val="21"/>
        </w:rPr>
        <w:t xml:space="preserve">These are Wasla's real customer records, provided exactly as the retention team pulled them from the billing system — quirks and all.</w:t>
      </w:r>
    </w:p>
    <w:p>
      <w:pPr>
        <w:pBdr>
          <w:bottom w:val="single" w:color="38B090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4A3870"/>
          <w:sz w:val="27"/>
          <w:szCs w:val="27"/>
        </w:rPr>
        <w:t xml:space="preserve">Deliverables</w:t>
      </w:r>
    </w:p>
    <w:p>
      <w:pPr>
        <w:spacing w:after="160" w:line="300"/>
        <w:ind w:left="215"/>
      </w:pPr>
      <w:r>
        <w:rPr>
          <w:rFonts w:ascii="Calibri" w:cs="Calibri" w:eastAsia="Calibri" w:hAnsi="Calibri"/>
          <w:b/>
          <w:bCs/>
          <w:color w:val="38B090"/>
          <w:sz w:val="22"/>
          <w:szCs w:val="22"/>
        </w:rPr>
        <w:t xml:space="preserve">1.  </w:t>
      </w:r>
      <w:r>
        <w:rPr>
          <w:rFonts w:ascii="Calibri" w:cs="Calibri" w:eastAsia="Calibri" w:hAnsi="Calibri"/>
          <w:b/>
          <w:bCs/>
          <w:color w:val="4A3870"/>
          <w:sz w:val="22"/>
          <w:szCs w:val="22"/>
        </w:rPr>
        <w:t xml:space="preserve">One notebook — </w:t>
      </w:r>
      <w:r>
        <w:rPr>
          <w:rFonts w:ascii="Calibri" w:cs="Calibri" w:eastAsia="Calibri" w:hAnsi="Calibri"/>
          <w:color w:val="2B2B2B"/>
          <w:sz w:val="22"/>
          <w:szCs w:val="22"/>
        </w:rPr>
        <w:t xml:space="preserve">containing your EDA, preprocessing, all three trained models, and your model comparison.</w:t>
      </w:r>
    </w:p>
    <w:p>
      <w:pPr>
        <w:spacing w:after="160" w:line="300"/>
        <w:ind w:left="215"/>
      </w:pPr>
      <w:r>
        <w:rPr>
          <w:rFonts w:ascii="Calibri" w:cs="Calibri" w:eastAsia="Calibri" w:hAnsi="Calibri"/>
          <w:b/>
          <w:bCs/>
          <w:color w:val="38B090"/>
          <w:sz w:val="22"/>
          <w:szCs w:val="22"/>
        </w:rPr>
        <w:t xml:space="preserve">2.  </w:t>
      </w:r>
      <w:r>
        <w:rPr>
          <w:rFonts w:ascii="Calibri" w:cs="Calibri" w:eastAsia="Calibri" w:hAnsi="Calibri"/>
          <w:b/>
          <w:bCs/>
          <w:color w:val="4A3870"/>
          <w:sz w:val="22"/>
          <w:szCs w:val="22"/>
        </w:rPr>
        <w:t xml:space="preserve">An evaluation report for Mona Adel — </w:t>
      </w:r>
      <w:r>
        <w:rPr>
          <w:rFonts w:ascii="Calibri" w:cs="Calibri" w:eastAsia="Calibri" w:hAnsi="Calibri"/>
          <w:color w:val="2B2B2B"/>
          <w:sz w:val="22"/>
          <w:szCs w:val="22"/>
        </w:rPr>
        <w:t xml:space="preserve">a short, non-technical summary translating your best model's findings into concrete retention actions Wasla can take.</w:t>
      </w:r>
    </w:p>
    <w:p>
      <w:pPr>
        <w:pBdr>
          <w:bottom w:val="single" w:color="38B090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4A3870"/>
          <w:sz w:val="27"/>
          <w:szCs w:val="27"/>
        </w:rPr>
        <w:t xml:space="preserve">Due Date</w:t>
      </w:r>
    </w:p>
    <w:p>
      <w:pPr>
        <w:spacing w:after="160" w:line="300"/>
      </w:pPr>
      <w:r>
        <w:rPr>
          <w:rFonts w:ascii="Calibri" w:cs="Calibri" w:eastAsia="Calibri" w:hAnsi="Calibri"/>
          <w:color w:val="2B2B2B"/>
          <w:sz w:val="22"/>
          <w:szCs w:val="22"/>
        </w:rPr>
        <w:t xml:space="preserve">By the start of Session 9. Most of this will already be built together in class today — this is mainly about polishing your notebook and writing the report for the client.</w:t>
      </w:r>
    </w:p>
    <w:p>
      <w:pPr>
        <w:pBdr>
          <w:bottom w:val="single" w:color="38B090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4A3870"/>
          <w:sz w:val="27"/>
          <w:szCs w:val="27"/>
        </w:rPr>
        <w:t xml:space="preserve">A Note on Approach</w:t>
      </w:r>
    </w:p>
    <w:p>
      <w:pPr>
        <w:spacing w:after="160" w:line="300"/>
      </w:pPr>
      <w:r>
        <w:rPr>
          <w:rFonts w:ascii="Calibri" w:cs="Calibri" w:eastAsia="Calibri" w:hAnsi="Calibri"/>
          <w:color w:val="2B2B2B"/>
          <w:sz w:val="22"/>
          <w:szCs w:val="22"/>
        </w:rPr>
        <w:t xml:space="preserve">Mona doesn't care which algorithm you used — she cares whether her team can act on it. A slightly less accurate model with a clear, actionable report beats a marginally better model with no business takeaway.</w:t>
      </w:r>
    </w:p>
    <w:p>
      <w:pPr>
        <w:pBdr>
          <w:top w:val="single" w:color="A080B8" w:sz="8" w:space="8"/>
        </w:pBdr>
        <w:spacing w:after="40" w:before="500"/>
      </w:pPr>
    </w:p>
    <w:p>
      <w:pPr>
        <w:spacing w:after="20" w:before="260"/>
      </w:pPr>
      <w:r>
        <w:rPr>
          <w:rFonts w:ascii="Segoe Script" w:cs="Segoe Script" w:eastAsia="Segoe Script" w:hAnsi="Segoe Script"/>
          <w:b/>
          <w:bCs/>
          <w:i/>
          <w:iCs/>
          <w:color w:val="4A3870"/>
          <w:sz w:val="34"/>
          <w:szCs w:val="34"/>
        </w:rPr>
        <w:t xml:space="preserve">Hozaifa Moustafa</w:t>
      </w:r>
    </w:p>
    <w:p>
      <w:pPr>
        <w:spacing w:after="300"/>
      </w:pPr>
      <w:r>
        <w:rPr>
          <w:rFonts w:ascii="Calibri" w:cs="Calibri" w:eastAsia="Calibri" w:hAnsi="Calibri"/>
          <w:color w:val="6B6B6B"/>
          <w:sz w:val="20"/>
          <w:szCs w:val="20"/>
        </w:rPr>
        <w:t xml:space="preserve">AI Engineering Instructor · Arabian Academy</w:t>
      </w:r>
    </w:p>
    <w:sectPr>
      <w:pgSz w:w="11906" w:h="16838" w:orient="portrait"/>
      <w:pgMar w:top="900" w:right="1100" w:bottom="9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644e0a237865c951ff25c2d27fc7288c0647a9c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2026-08-22T04:42:28.144Z</dcterms:created>
  <dcterms:modified xsi:type="dcterms:W3CDTF">2026-08-22T04:42:28.161Z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