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NPV</w:t>
            </w:r>
          </w:p>
        </w:tc>
        <w:tc>
          <w:tcPr>
            <w:tcW w:type="dxa" w:w="2880"/>
          </w:tcPr>
          <w:p>
            <w:r>
              <w:t>млн.руб</w:t>
            </w:r>
          </w:p>
        </w:tc>
        <w:tc>
          <w:tcPr>
            <w:tcW w:type="dxa" w:w="2880"/>
          </w:tcPr>
          <w:p>
            <w:r>
              <w:t>-864.56</w:t>
            </w:r>
          </w:p>
        </w:tc>
      </w:tr>
      <w:tr>
        <w:tc>
          <w:tcPr>
            <w:tcW w:type="dxa" w:w="2880"/>
          </w:tcPr>
          <w:p>
            <w:r>
              <w:t>IRR</w:t>
            </w:r>
          </w:p>
        </w:tc>
        <w:tc>
          <w:tcPr>
            <w:tcW w:type="dxa" w:w="2880"/>
          </w:tcPr>
          <w:p>
            <w:r>
              <w:t>доли ед.</w:t>
            </w:r>
          </w:p>
        </w:tc>
        <w:tc>
          <w:tcPr>
            <w:tcW w:type="dxa" w:w="2880"/>
          </w:tcPr>
          <w:p>
            <w:r>
              <w:t>-1.85</w:t>
            </w:r>
          </w:p>
        </w:tc>
      </w:tr>
      <w:tr>
        <w:tc>
          <w:tcPr>
            <w:tcW w:type="dxa" w:w="5760"/>
            <w:gridSpan w:val="2"/>
          </w:tcPr>
          <w:p>
            <w:r>
              <w:t>Индекс доходности</w:t>
            </w:r>
          </w:p>
          <w:p>
            <w:r/>
          </w:p>
        </w:tc>
        <w:tc>
          <w:tcPr>
            <w:tcW w:type="dxa" w:w="2880"/>
          </w:tcPr>
          <w:p>
            <w:r>
              <w:t>0.43</w:t>
            </w:r>
          </w:p>
        </w:tc>
      </w:tr>
      <w:tr>
        <w:tc>
          <w:tcPr>
            <w:tcW w:type="dxa" w:w="2880"/>
          </w:tcPr>
          <w:p>
            <w:r>
              <w:t>ПРОСТОЙ СРОК ОКУПАЕМОСТИ (ГОД)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ДИСКОНТИРОВАННЫЙ СРОК ОКУПАЕМОСТИ (ГОД)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1"/>
      </w:pPr>
      <w:r>
        <w:t>Анализ критериев эффективности</w:t>
      </w:r>
    </w:p>
    <w:p>
      <w:r>
        <w:t>На основании NPV, значение которого имеет -864.555, млн.руб, проект принимать не следует.</w:t>
        <w:br/>
        <w:t>На основании индекса рентабельности, значение которого имеет 0.432,  проект следует отвергнуть.</w:t>
        <w:br/>
        <w:t>Исходя из того, что IRR (-1.848, доли ед.) меньше нормы дисконта (0.1, доли ед.) проект следует отвергнуть.</w:t>
        <w:br/>
        <w:t>Дополнительно отметим, что срока окупаемости в заданный период нет, при отсутсвующем дисконтированном сроке окупаемости</w:t>
      </w:r>
    </w:p>
    <w:p>
      <w:r>
        <w:drawing>
          <wp:inline xmlns:a="http://schemas.openxmlformats.org/drawingml/2006/main" xmlns:pic="http://schemas.openxmlformats.org/drawingml/2006/picture">
            <wp:extent cx="5760000" cy="2440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график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40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Анализ риска</w:t>
      </w:r>
    </w:p>
    <w:p>
      <w:r>
        <w:drawing>
          <wp:inline xmlns:a="http://schemas.openxmlformats.org/drawingml/2006/main" xmlns:pic="http://schemas.openxmlformats.org/drawingml/2006/picture">
            <wp:extent cx="5760000" cy="25889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график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889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245574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график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55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247115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график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711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343619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график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361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Анализ проектного финансирования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Метод</w:t>
            </w:r>
          </w:p>
        </w:tc>
        <w:tc>
          <w:tcPr>
            <w:tcW w:type="dxa" w:w="5760"/>
            <w:gridSpan w:val="2"/>
          </w:tcPr>
          <w:p>
            <w:r/>
          </w:p>
          <w:p>
            <w:r>
              <w:t>Не линейный</w:t>
            </w:r>
          </w:p>
        </w:tc>
      </w:tr>
      <w:tr>
        <w:tc>
          <w:tcPr>
            <w:tcW w:type="dxa" w:w="2880"/>
          </w:tcPr>
          <w:p>
            <w:r>
              <w:t>ПОСТУПЛЕНИЕ</w:t>
            </w:r>
          </w:p>
        </w:tc>
        <w:tc>
          <w:tcPr>
            <w:tcW w:type="dxa" w:w="2880"/>
          </w:tcPr>
          <w:p>
            <w:r>
              <w:t>млн.руб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  <w:tr>
        <w:tc>
          <w:tcPr>
            <w:tcW w:type="dxa" w:w="2880"/>
          </w:tcPr>
          <w:p>
            <w:r>
              <w:t>Момент выдачи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  <w:tr>
        <w:tc>
          <w:tcPr>
            <w:tcW w:type="dxa" w:w="2880"/>
          </w:tcPr>
          <w:p>
            <w:r>
              <w:t>ЛЬГОТНЫЙ ПЕРИОД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ПРОЦЕНТНАЯ СТАВКА</w:t>
            </w:r>
          </w:p>
        </w:tc>
        <w:tc>
          <w:tcPr>
            <w:tcW w:type="dxa" w:w="2880"/>
          </w:tcPr>
          <w:p>
            <w:r>
              <w:t>доли ед.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ДЛИТЕЛЬНОСТЬ ЗАЙМА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  <w:tr>
        <w:tc>
          <w:tcPr>
            <w:tcW w:type="dxa" w:w="2880"/>
          </w:tcPr>
          <w:p>
            <w:r>
              <w:t>КАПИТАЛИЗАЦИЯ ПРОЦЕНТОВ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4.0</w:t>
            </w:r>
          </w:p>
        </w:tc>
      </w:tr>
    </w:tbl>
    <w:sectPr w:rsidR="00FC693F" w:rsidRPr="0006063C" w:rsidSect="00034616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Итоговый сводный отчет по эффективности проекта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