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A365D"/>
          <w:sz w:val="34"/>
        </w:rPr>
        <w:t>CoralTwin-DT: A Cyber-Physical Digital Twin Coupling Machine Learning and Dynamical Biophysics for Coral Reef Restoration Prioritization under Thermal Stress and Ocean Acidification</w:t>
      </w:r>
    </w:p>
    <w:p>
      <w:pPr>
        <w:spacing w:after="280"/>
        <w:jc w:val="center"/>
      </w:pPr>
      <w:r>
        <w:rPr>
          <w:rFonts w:ascii="Calibri" w:hAnsi="Calibri"/>
          <w:i/>
          <w:color w:val="475569"/>
          <w:sz w:val="20"/>
        </w:rPr>
        <w:t>CoralTwin-DT Doctoral Research Consortium</w:t>
        <w:br/>
        <w:t>Computational Oceanography &amp; Ecological Informatics Laboratory</w:t>
        <w:br/>
        <w:t>Target Journal: Ecological Informatics (Elsevier, Scopus Q1) / IEEE Transactions on Cybernetics</w:t>
      </w:r>
    </w:p>
    <w:p>
      <w:pPr>
        <w:spacing w:before="40" w:after="100" w:line="276" w:lineRule="auto"/>
      </w:pPr>
      <w:r>
        <w:rPr>
          <w:rFonts w:ascii="Calibri" w:hAnsi="Calibri"/>
          <w:b/>
          <w:color w:val="334155"/>
          <w:sz w:val="21"/>
        </w:rPr>
        <w:t>Authors:</w:t>
      </w:r>
      <w:r>
        <w:rPr>
          <w:rFonts w:ascii="Calibri" w:hAnsi="Calibri"/>
          <w:color w:val="334155"/>
          <w:sz w:val="21"/>
        </w:rPr>
        <w:t xml:space="preserve"> CoralTwin-DT Research Consortium</w:t>
      </w:r>
    </w:p>
    <w:p>
      <w:pPr>
        <w:spacing w:before="40" w:after="100" w:line="276" w:lineRule="auto"/>
      </w:pPr>
      <w:r>
        <w:rPr>
          <w:rFonts w:ascii="Calibri" w:hAnsi="Calibri"/>
          <w:b/>
          <w:color w:val="334155"/>
          <w:sz w:val="21"/>
        </w:rPr>
        <w:t>Target Journal:</w:t>
      </w:r>
      <w:r>
        <w:rPr>
          <w:rFonts w:ascii="Calibri" w:hAnsi="Calibri"/>
          <w:color w:val="334155"/>
          <w:sz w:val="21"/>
        </w:rPr>
        <w:t xml:space="preserve"> </w:t>
      </w:r>
      <w:r>
        <w:rPr>
          <w:rFonts w:ascii="Calibri" w:hAnsi="Calibri"/>
          <w:i/>
          <w:color w:val="334155"/>
          <w:sz w:val="21"/>
        </w:rPr>
        <w:t>Ecological Informatics</w:t>
      </w:r>
      <w:r>
        <w:rPr>
          <w:rFonts w:ascii="Calibri" w:hAnsi="Calibri"/>
          <w:color w:val="334155"/>
          <w:sz w:val="21"/>
        </w:rPr>
        <w:t xml:space="preserve"> (Elsevier, Scopus Q1) / </w:t>
      </w:r>
      <w:r>
        <w:rPr>
          <w:rFonts w:ascii="Calibri" w:hAnsi="Calibri"/>
          <w:i/>
          <w:color w:val="334155"/>
          <w:sz w:val="21"/>
        </w:rPr>
        <w:t>IEEE Transactions on Cybernetics</w:t>
      </w:r>
    </w:p>
    <w:p>
      <w:pPr>
        <w:spacing w:before="40" w:after="100" w:line="276" w:lineRule="auto"/>
      </w:pPr>
      <w:r>
        <w:rPr>
          <w:rFonts w:ascii="Calibri" w:hAnsi="Calibri"/>
          <w:b/>
          <w:color w:val="334155"/>
          <w:sz w:val="21"/>
        </w:rPr>
        <w:t>Repository:</w:t>
      </w:r>
      <w:r>
        <w:rPr>
          <w:rFonts w:ascii="Calibri" w:hAnsi="Calibri"/>
          <w:color w:val="334155"/>
          <w:sz w:val="21"/>
        </w:rPr>
        <w:t xml:space="preserve"> https://github.com/HrSly11/CoralTwin-DT.git</w:t>
      </w:r>
    </w:p>
    <w:p>
      <w:pPr>
        <w:spacing w:before="40" w:after="100" w:line="276" w:lineRule="auto"/>
      </w:pPr>
      <w:r>
        <w:rPr>
          <w:rFonts w:ascii="Calibri" w:hAnsi="Calibri"/>
          <w:b/>
          <w:color w:val="334155"/>
          <w:sz w:val="21"/>
        </w:rPr>
        <w:t>Attribution:</w:t>
      </w:r>
      <w:r>
        <w:rPr>
          <w:rFonts w:ascii="Calibri" w:hAnsi="Calibri"/>
          <w:color w:val="334155"/>
          <w:sz w:val="21"/>
        </w:rPr>
        <w:t xml:space="preserve"> </w:t>
      </w:r>
      <w:r>
        <w:rPr>
          <w:rFonts w:ascii="Calibri" w:hAnsi="Calibri"/>
          <w:i/>
          <w:color w:val="334155"/>
          <w:sz w:val="21"/>
        </w:rPr>
        <w:t>Resultado obtenido mediante prototipo computacional del gemelo digital.</w:t>
      </w:r>
    </w:p>
    <w:p>
      <w:pPr>
        <w:keepNext/>
        <w:spacing w:before="280" w:after="80"/>
      </w:pPr>
      <w:r>
        <w:rPr>
          <w:rFonts w:ascii="Calibri" w:hAnsi="Calibri"/>
          <w:b/>
          <w:color w:val="2B6CB0"/>
          <w:sz w:val="28"/>
        </w:rPr>
        <w:t>Abstract</w:t>
      </w:r>
    </w:p>
    <w:p>
      <w:pPr>
        <w:spacing w:before="40" w:after="100" w:line="276" w:lineRule="auto"/>
      </w:pPr>
      <w:r>
        <w:rPr>
          <w:rFonts w:ascii="Calibri" w:hAnsi="Calibri"/>
          <w:b/>
          <w:color w:val="334155"/>
          <w:sz w:val="21"/>
        </w:rPr>
        <w:t>Background:</w:t>
      </w:r>
      <w:r>
        <w:rPr>
          <w:rFonts w:ascii="Calibri" w:hAnsi="Calibri"/>
          <w:color w:val="334155"/>
          <w:sz w:val="21"/>
        </w:rPr>
        <w:t xml:space="preserve"> Anthropogenic marine heatwaves and accelerating ocean acidification pose compounding existential threats to scleractinian coral reefs worldwide. Traditional spatial conservation strategies rely predominantly on static marine protected areas or retrospective bleaching surveys, which fail to capture non-linear biophysical tipping points or dynamically guide active coral nursery outplanting.</w:t>
      </w:r>
    </w:p>
    <w:p>
      <w:pPr>
        <w:spacing w:before="40" w:after="100" w:line="276" w:lineRule="auto"/>
      </w:pPr>
      <w:r>
        <w:rPr>
          <w:rFonts w:ascii="Calibri" w:hAnsi="Calibri"/>
          <w:b/>
          <w:color w:val="334155"/>
          <w:sz w:val="21"/>
        </w:rPr>
        <w:t>Methods:</w:t>
      </w:r>
      <w:r>
        <w:rPr>
          <w:rFonts w:ascii="Calibri" w:hAnsi="Calibri"/>
          <w:color w:val="334155"/>
          <w:sz w:val="21"/>
        </w:rPr>
        <w:t xml:space="preserve"> We present </w:t>
      </w:r>
      <w:r>
        <w:rPr>
          <w:rFonts w:ascii="Calibri" w:hAnsi="Calibri"/>
          <w:b/>
          <w:color w:val="334155"/>
          <w:sz w:val="21"/>
        </w:rPr>
        <w:t>CoralTwin-DT</w:t>
      </w:r>
      <w:r>
        <w:rPr>
          <w:rFonts w:ascii="Calibri" w:hAnsi="Calibri"/>
          <w:color w:val="334155"/>
          <w:sz w:val="21"/>
        </w:rPr>
        <w:t>, an open-source cyber-physical digital twin for marine ecosystems. Structured across a Six-Layer Architecture, CoralTwin-DT harmonizes daily NOAA Coral Reef Watch 5 km satellite thermal feeds, Copernicus Sentinel-2 multispectral turbidity unmixing (Kd(490)), and in-situ biogeochemical moorings onto standardized 500 m benthic grids (N = 15,000 observations across 30 global benchmark stations). The computational core couples an extreme gradient boosting (XGBoost) multi-task inference engine with game-theoretic TreeSHAP explainability and non-linear ordinary differential equations (ODEs) of coral-macroalgal space competition.</w:t>
      </w:r>
    </w:p>
    <w:p>
      <w:pPr>
        <w:spacing w:before="40" w:after="100" w:line="276" w:lineRule="auto"/>
      </w:pPr>
      <w:r>
        <w:rPr>
          <w:rFonts w:ascii="Calibri" w:hAnsi="Calibri"/>
          <w:b/>
          <w:color w:val="334155"/>
          <w:sz w:val="21"/>
        </w:rPr>
        <w:t>Results:</w:t>
      </w:r>
      <w:r>
        <w:rPr>
          <w:rFonts w:ascii="Calibri" w:hAnsi="Calibri"/>
          <w:color w:val="334155"/>
          <w:sz w:val="21"/>
        </w:rPr>
        <w:t xml:space="preserve"> Under 5-fold spatially stratified cross-validation, XGBoost achieved superior predictive performance (98.85% classification accuracy, Macro-F1 = 0.7298, regression R² = 0.9995, RMSE = 0.346%) with sub-millisecond inference latency (0.009 ms/sample), significantly outperforming Random Forest, Multi-Layer Perceptron, and recurrent LSTM architectures (p &lt; 0.001). TreeSHAP attribution revealed a pronounced synergistic tipping point: under acidified seawater (pH ≤ 7.85, Ω_arag ≤ 2.80), the critical thermal mortality threshold decreases by 1.4°C-weeks (from 8.4 to 5.8 DHW). Forward decadal simulations (N = 5,000 Monte Carlo runs) demonstrate that under unmitigated emissions (SSP5-8.5), live coral cover collapses to 4.8%. Conversely, an integrated intervention coupling thermally hardened micro-fragments (+2.0°C tolerance) with protected herbivory (g = 0.68) sustains 46.2% live cover and positive framework accretion (+6.80 kg CaCO₃ m⁻² yr⁻¹).</w:t>
      </w:r>
    </w:p>
    <w:p>
      <w:pPr>
        <w:spacing w:before="40" w:after="100" w:line="276" w:lineRule="auto"/>
      </w:pPr>
      <w:r>
        <w:rPr>
          <w:rFonts w:ascii="Calibri" w:hAnsi="Calibri"/>
          <w:b/>
          <w:color w:val="334155"/>
          <w:sz w:val="21"/>
        </w:rPr>
        <w:t>Conclusions &amp; Contributions:</w:t>
      </w:r>
      <w:r>
        <w:rPr>
          <w:rFonts w:ascii="Calibri" w:hAnsi="Calibri"/>
          <w:color w:val="334155"/>
          <w:sz w:val="21"/>
        </w:rPr>
        <w:t xml:space="preserve"> We operationalize these biophysical insights through an open Spatial Restoration Priority Index (SRPI) and automated GeoJSON zoning pipelines. CoralTwin-DT bridges environmental informatics, cyber-physical systems, and active reef restoration, providing a reproducible paradigm for 21st-century conservation engineering.</w:t>
      </w:r>
    </w:p>
    <w:p>
      <w:pPr>
        <w:spacing w:before="40" w:after="100" w:line="276" w:lineRule="auto"/>
      </w:pPr>
      <w:r>
        <w:rPr>
          <w:rFonts w:ascii="Calibri" w:hAnsi="Calibri"/>
          <w:b/>
          <w:color w:val="334155"/>
          <w:sz w:val="21"/>
        </w:rPr>
        <w:t>Keywords:</w:t>
      </w:r>
      <w:r>
        <w:rPr>
          <w:rFonts w:ascii="Calibri" w:hAnsi="Calibri"/>
          <w:color w:val="334155"/>
          <w:sz w:val="21"/>
        </w:rPr>
        <w:t xml:space="preserve"> Environmental Digital Twin, Cyber-Physical Systems, Coral Bleaching, Ocean Acidification, XGBoost, TreeSHAP, Restoration Prioritization, Ecological Informatics.</w:t>
      </w:r>
    </w:p>
    <w:p>
      <w:pPr>
        <w:keepNext/>
        <w:spacing w:before="280" w:after="80"/>
      </w:pPr>
      <w:r>
        <w:rPr>
          <w:rFonts w:ascii="Calibri" w:hAnsi="Calibri"/>
          <w:b/>
          <w:color w:val="2B6CB0"/>
          <w:sz w:val="28"/>
        </w:rPr>
        <w:t>1. Introduction</w:t>
      </w:r>
    </w:p>
    <w:p>
      <w:pPr>
        <w:spacing w:before="40" w:after="100" w:line="276" w:lineRule="auto"/>
      </w:pPr>
      <w:r>
        <w:rPr>
          <w:rFonts w:ascii="Calibri" w:hAnsi="Calibri"/>
          <w:color w:val="334155"/>
          <w:sz w:val="21"/>
        </w:rPr>
        <w:t>Tropical coral reefs represent vital bastions of global marine biodiversity, harboring over 25% of documented marine organisms while occupying less than 0.1% of the oceanic surface (Hoegh-Guldberg et al., 2007; Hughes et al., 2018). Beyond ecological richness, biogenic reef structures deliver critical ecosystem services, including coastal storm buffer dissipation, artisanal fisheries nourishment, and economic sustenance for over 500 million people across equatorial regions (Anthony et al., 2020; Hein et al., 2021). Nevertheless, the concurrent intensification of acute marine heatwaves (MHWs) and chronic ocean acidification driven by global carbon emissions threatens these socio-ecological frameworks with functional collapse (Cornwall et al., 2021; Klein et al., 2022; van Hooidonk et al., 2016).</w:t>
      </w:r>
    </w:p>
    <w:p>
      <w:pPr>
        <w:spacing w:before="40" w:after="100" w:line="276" w:lineRule="auto"/>
      </w:pPr>
      <w:r>
        <w:rPr>
          <w:rFonts w:ascii="Calibri" w:hAnsi="Calibri"/>
          <w:color w:val="334155"/>
          <w:sz w:val="21"/>
        </w:rPr>
        <w:t>Thermal breakdown of the endosymbiotic relationship between scleractinian corals and dinoflagellates (</w:t>
      </w:r>
      <w:r>
        <w:rPr>
          <w:rFonts w:ascii="Calibri" w:hAnsi="Calibri"/>
          <w:i/>
          <w:color w:val="334155"/>
          <w:sz w:val="21"/>
        </w:rPr>
        <w:t>Symbiodiniaceae</w:t>
      </w:r>
      <w:r>
        <w:rPr>
          <w:rFonts w:ascii="Calibri" w:hAnsi="Calibri"/>
          <w:color w:val="334155"/>
          <w:sz w:val="21"/>
        </w:rPr>
        <w:t>) triggers widespread coral bleaching, extensive colony mortality, and rapid structural disarticulation (Barott et al., 2021; Boonnam et al., 2022; Lin et al., 2023). Simultaneously, the uptake of anthropogenic carbon dioxide by surface waters shifts chemical equilibrium toward lower pH and diminished aragonite saturation states (Ω_arag), depressing calcification rates and elevating biochemical dissolution (Bove et al., 2022; Dobson et al., 2024; Esplandiu et al., 2024).</w:t>
      </w:r>
    </w:p>
    <w:p>
      <w:pPr>
        <w:spacing w:before="40" w:after="100" w:line="276" w:lineRule="auto"/>
      </w:pPr>
      <w:r>
        <w:rPr>
          <w:rFonts w:ascii="Calibri" w:hAnsi="Calibri"/>
          <w:color w:val="334155"/>
          <w:sz w:val="21"/>
        </w:rPr>
        <w:t>Despite substantial investments in marine conservation, conventional environmental management protocols exhibit critical architectural limitations:</w:t>
      </w:r>
    </w:p>
    <w:p>
      <w:pPr>
        <w:spacing w:before="40" w:after="60"/>
        <w:ind w:left="360"/>
      </w:pPr>
      <w:r>
        <w:rPr>
          <w:rFonts w:ascii="Calibri" w:hAnsi="Calibri"/>
          <w:b/>
          <w:color w:val="1E293B"/>
          <w:sz w:val="21"/>
        </w:rPr>
        <w:t xml:space="preserve">1. </w:t>
      </w:r>
      <w:r>
        <w:rPr>
          <w:rFonts w:ascii="Calibri" w:hAnsi="Calibri"/>
          <w:b/>
          <w:color w:val="334155"/>
          <w:sz w:val="21"/>
        </w:rPr>
        <w:t>Uncoupled Stressor Modeling:</w:t>
      </w:r>
      <w:r>
        <w:rPr>
          <w:rFonts w:ascii="Calibri" w:hAnsi="Calibri"/>
          <w:color w:val="334155"/>
          <w:sz w:val="21"/>
        </w:rPr>
        <w:t xml:space="preserve"> Satellite monitoring systems (e.g., NOAA Coral Reef Watch) evaluate Sea Surface Temperature (SST) and Degree Heating Weeks (DHW) in isolation from benthic carbonate chemistry (pH, Ω_arag), water clarity, and structural complexity (Liu et al., 2014; Skirving et al., 2019; Tzachor et al., 2023).</w:t>
      </w:r>
    </w:p>
    <w:p>
      <w:pPr>
        <w:spacing w:before="40" w:after="60"/>
        <w:ind w:left="360"/>
      </w:pPr>
      <w:r>
        <w:rPr>
          <w:rFonts w:ascii="Calibri" w:hAnsi="Calibri"/>
          <w:b/>
          <w:color w:val="1E293B"/>
          <w:sz w:val="21"/>
        </w:rPr>
        <w:t xml:space="preserve">2. </w:t>
      </w:r>
      <w:r>
        <w:rPr>
          <w:rFonts w:ascii="Calibri" w:hAnsi="Calibri"/>
          <w:b/>
          <w:color w:val="334155"/>
          <w:sz w:val="21"/>
        </w:rPr>
        <w:t>Static Spatial Prioritization:</w:t>
      </w:r>
      <w:r>
        <w:rPr>
          <w:rFonts w:ascii="Calibri" w:hAnsi="Calibri"/>
          <w:color w:val="334155"/>
          <w:sz w:val="21"/>
        </w:rPr>
        <w:t xml:space="preserve"> Marine Protected Areas (MPAs) are conventionally designated around static jurisdictional boundaries, lacking continuous data ingestion, predictive biophysical feedback, and dynamic optimization for active nursery interventions (Boström-Einarsson et al., 2020; McLeod et al., 2019; Shaver et al., 2022).</w:t>
      </w:r>
    </w:p>
    <w:p>
      <w:pPr>
        <w:spacing w:before="40" w:after="60"/>
        <w:ind w:left="360"/>
      </w:pPr>
      <w:r>
        <w:rPr>
          <w:rFonts w:ascii="Calibri" w:hAnsi="Calibri"/>
          <w:b/>
          <w:color w:val="1E293B"/>
          <w:sz w:val="21"/>
        </w:rPr>
        <w:t xml:space="preserve">3. </w:t>
      </w:r>
      <w:r>
        <w:rPr>
          <w:rFonts w:ascii="Calibri" w:hAnsi="Calibri"/>
          <w:b/>
          <w:color w:val="334155"/>
          <w:sz w:val="21"/>
        </w:rPr>
        <w:t>Black-Box Algorithmic Isolation:</w:t>
      </w:r>
      <w:r>
        <w:rPr>
          <w:rFonts w:ascii="Calibri" w:hAnsi="Calibri"/>
          <w:color w:val="334155"/>
          <w:sz w:val="21"/>
        </w:rPr>
        <w:t xml:space="preserve"> While machine learning approaches have emerged for automated benthic image segmentation and bleaching classification (Beijbom et al., 2015; Giles et al., 2023; González-Rivero et al., 2020; Ouassine et al., 2025), their integration into closed-loop cyber-physical twins with rigorous feature attribution remains largely unexplored (de Koning et al., 2023; Rasheed et al., 2020).</w:t>
      </w:r>
    </w:p>
    <w:p>
      <w:pPr>
        <w:spacing w:before="40" w:after="100" w:line="276" w:lineRule="auto"/>
      </w:pPr>
      <w:r>
        <w:rPr>
          <w:rFonts w:ascii="Calibri" w:hAnsi="Calibri"/>
          <w:color w:val="334155"/>
          <w:sz w:val="21"/>
        </w:rPr>
        <w:t xml:space="preserve">To overcome these fundamental barriers, this study formulates, implements, and validates </w:t>
      </w:r>
      <w:r>
        <w:rPr>
          <w:rFonts w:ascii="Calibri" w:hAnsi="Calibri"/>
          <w:b/>
          <w:color w:val="334155"/>
          <w:sz w:val="21"/>
        </w:rPr>
        <w:t>CoralTwin-DT</w:t>
      </w:r>
      <w:r>
        <w:rPr>
          <w:rFonts w:ascii="Calibri" w:hAnsi="Calibri"/>
          <w:color w:val="334155"/>
          <w:sz w:val="21"/>
        </w:rPr>
        <w:t>: an open-source, cyber-physical digital twin that couples multi-source Earth observation telemetry with explainable machine learning and non-linear dynamical biophysics. In contrast to purely statistical models, digital twins provide bidirectional synchronization between physical monitoring assets and digital simulation spaces (Aguzzi et al., 2025; Chen et al., 2023; Føre et al., 2024).</w:t>
      </w:r>
    </w:p>
    <w:p>
      <w:pPr>
        <w:spacing w:before="40" w:after="100" w:line="276" w:lineRule="auto"/>
      </w:pPr>
      <w:r>
        <w:rPr>
          <w:rFonts w:ascii="Calibri" w:hAnsi="Calibri"/>
          <w:color w:val="334155"/>
          <w:sz w:val="21"/>
        </w:rPr>
        <w:t xml:space="preserve">We guide this investigation through three explicit, measurable </w:t>
      </w:r>
      <w:r>
        <w:rPr>
          <w:rFonts w:ascii="Calibri" w:hAnsi="Calibri"/>
          <w:b/>
          <w:color w:val="334155"/>
          <w:sz w:val="21"/>
        </w:rPr>
        <w:t>Research Questions (RQs)</w:t>
      </w:r>
      <w:r>
        <w:rPr>
          <w:rFonts w:ascii="Calibri" w:hAnsi="Calibri"/>
          <w:color w:val="334155"/>
          <w:sz w:val="21"/>
        </w:rPr>
        <w:t>:</w:t>
      </w:r>
    </w:p>
    <w:p>
      <w:pPr>
        <w:pStyle w:val="ListBullet"/>
        <w:spacing w:before="40" w:after="60"/>
      </w:pPr>
      <w:r>
        <w:rPr>
          <w:rFonts w:ascii="Calibri" w:hAnsi="Calibri"/>
          <w:b/>
          <w:color w:val="334155"/>
          <w:sz w:val="21"/>
        </w:rPr>
        <w:t>RQ1 (Inference Accuracy &amp; Computational Latency):</w:t>
      </w:r>
      <w:r>
        <w:rPr>
          <w:rFonts w:ascii="Calibri" w:hAnsi="Calibri"/>
          <w:color w:val="334155"/>
          <w:sz w:val="21"/>
        </w:rPr>
        <w:t xml:space="preserve"> </w:t>
      </w:r>
      <w:r>
        <w:rPr>
          <w:rFonts w:ascii="Calibri" w:hAnsi="Calibri"/>
          <w:i/>
          <w:color w:val="334155"/>
          <w:sz w:val="21"/>
        </w:rPr>
        <w:t>How does an extreme gradient-boosted multi-task architecture compare against deep sequential (Stacked LSTM), artificial neural (Deep MLP), and ensemble bagging (Random Forest) baselines when predicting multi-stressor bleaching severity across spatially buffered marine validation grids?</w:t>
      </w:r>
    </w:p>
    <w:p>
      <w:pPr>
        <w:pStyle w:val="ListBullet"/>
        <w:spacing w:before="40" w:after="60"/>
      </w:pPr>
      <w:r>
        <w:rPr>
          <w:rFonts w:ascii="Calibri" w:hAnsi="Calibri"/>
          <w:b/>
          <w:color w:val="334155"/>
          <w:sz w:val="21"/>
        </w:rPr>
        <w:t>RQ2 (Algorithmic Attribution &amp; Non-Linear Tipping Points):</w:t>
      </w:r>
      <w:r>
        <w:rPr>
          <w:rFonts w:ascii="Calibri" w:hAnsi="Calibri"/>
          <w:color w:val="334155"/>
          <w:sz w:val="21"/>
        </w:rPr>
        <w:t xml:space="preserve"> </w:t>
      </w:r>
      <w:r>
        <w:rPr>
          <w:rFonts w:ascii="Calibri" w:hAnsi="Calibri"/>
          <w:i/>
          <w:color w:val="334155"/>
          <w:sz w:val="21"/>
        </w:rPr>
        <w:t>What are the principal environmental drivers and quantitative interaction thresholds between cumulative thermal heat stress (DHW) and ocean acidification (pH, Ω_arag) identified through game-theoretic TreeSHAP feature attribution?</w:t>
      </w:r>
    </w:p>
    <w:p>
      <w:pPr>
        <w:pStyle w:val="ListBullet"/>
        <w:spacing w:before="40" w:after="60"/>
      </w:pPr>
      <w:r>
        <w:rPr>
          <w:rFonts w:ascii="Calibri" w:hAnsi="Calibri"/>
          <w:b/>
          <w:color w:val="334155"/>
          <w:sz w:val="21"/>
        </w:rPr>
        <w:t>RQ3 (Dynamic Restoration Optimization &amp; Accretion Trajectories):</w:t>
      </w:r>
      <w:r>
        <w:rPr>
          <w:rFonts w:ascii="Calibri" w:hAnsi="Calibri"/>
          <w:color w:val="334155"/>
          <w:sz w:val="21"/>
        </w:rPr>
        <w:t xml:space="preserve"> </w:t>
      </w:r>
      <w:r>
        <w:rPr>
          <w:rFonts w:ascii="Calibri" w:hAnsi="Calibri"/>
          <w:i/>
          <w:color w:val="334155"/>
          <w:sz w:val="21"/>
        </w:rPr>
        <w:t>To what extent can coupled dynamical biophysical differential equations (ODEs) and the Spatial Restoration Priority Index (SRPI) optimize active nursery outplanting and sustain net carbonate framework accretion under contrasting 2025–2050 climate pathways?</w:t>
      </w:r>
    </w:p>
    <w:p>
      <w:pPr>
        <w:keepNext/>
        <w:spacing w:before="280" w:after="80"/>
      </w:pPr>
      <w:r>
        <w:rPr>
          <w:rFonts w:ascii="Calibri" w:hAnsi="Calibri"/>
          <w:b/>
          <w:color w:val="2B6CB0"/>
          <w:sz w:val="28"/>
        </w:rPr>
        <w:t>2. Materials and Methods</w:t>
      </w:r>
    </w:p>
    <w:p>
      <w:pPr>
        <w:keepNext/>
        <w:spacing w:before="200" w:after="60"/>
      </w:pPr>
      <w:r>
        <w:rPr>
          <w:rFonts w:ascii="Calibri" w:hAnsi="Calibri"/>
          <w:b/>
          <w:color w:val="1E293B"/>
          <w:sz w:val="23"/>
        </w:rPr>
        <w:t>2.1 Empirical Domain and Station Network</w:t>
      </w:r>
    </w:p>
    <w:p>
      <w:pPr>
        <w:spacing w:before="40" w:after="100" w:line="276" w:lineRule="auto"/>
      </w:pPr>
      <w:r>
        <w:rPr>
          <w:rFonts w:ascii="Calibri" w:hAnsi="Calibri"/>
          <w:color w:val="334155"/>
          <w:sz w:val="21"/>
        </w:rPr>
        <w:t>The empirical domain encompasses 30 globally distributed benchmark coral monitoring stations spanning five biogeographic provinces: the Caribbean Sea (Mesoamerican Barrier Reef, Belize, Roatan, Florida Keys), the Indo-Pacific Coral Triangle (Raja Ampat, Komodo, Wakatobi, Northern Great Barrier Reef), the Red Sea (Gulf of Aqaba, Farasan Islands), the Western Indian Ocean (Seychelles, Maldives), and the Central-Western Pacific (Palau, Hawaii). Stations were selected to encompass broad environmental gradients in depth (2–25 m), mean annual sea surface temperature (24.8°C to 31.2°C), baseline rugosity (1.15 to 2.45), and seawater pH (7.78 to 8.22).</w:t>
      </w:r>
    </w:p>
    <w:p>
      <w:pPr>
        <w:keepNext/>
        <w:spacing w:before="200" w:after="60"/>
      </w:pPr>
      <w:r>
        <w:rPr>
          <w:rFonts w:ascii="Calibri" w:hAnsi="Calibri"/>
          <w:b/>
          <w:color w:val="1E293B"/>
          <w:sz w:val="23"/>
        </w:rPr>
        <w:t>2.2 Six-Layer Cyber-Physical Architecture</w:t>
      </w:r>
    </w:p>
    <w:p>
      <w:pPr>
        <w:spacing w:before="40" w:after="100" w:line="276" w:lineRule="auto"/>
      </w:pPr>
      <w:r>
        <w:rPr>
          <w:rFonts w:ascii="Calibri" w:hAnsi="Calibri"/>
          <w:color w:val="334155"/>
          <w:sz w:val="21"/>
        </w:rPr>
        <w:t>CoralTwin-DT is engineered according to a modular Six-Layer Cyber-Physical Architecture (Figure 1), guaranteeing end-to-end data integrity, FAIR compliance (Wilkinson et al., 2016), and low-latency decision support:</w:t>
      </w:r>
    </w:p>
    <w:p>
      <w:pPr>
        <w:spacing w:before="40" w:after="60"/>
        <w:ind w:left="360"/>
      </w:pPr>
      <w:r>
        <w:rPr>
          <w:rFonts w:ascii="Calibri" w:hAnsi="Calibri"/>
          <w:b/>
          <w:color w:val="1E293B"/>
          <w:sz w:val="21"/>
        </w:rPr>
        <w:t xml:space="preserve">1. </w:t>
      </w:r>
      <w:r>
        <w:rPr>
          <w:rFonts w:ascii="Calibri" w:hAnsi="Calibri"/>
          <w:b/>
          <w:color w:val="334155"/>
          <w:sz w:val="21"/>
        </w:rPr>
        <w:t>Layer 1: Acquisition &amp; Telemetry:</w:t>
      </w:r>
      <w:r>
        <w:rPr>
          <w:rFonts w:ascii="Calibri" w:hAnsi="Calibri"/>
          <w:color w:val="334155"/>
          <w:sz w:val="21"/>
        </w:rPr>
        <w:t xml:space="preserve"> Continuous daily ingestion of NOAA Coral Reef Watch 5 km operational satellite feeds (SST, HotSpot, DHW; Liu et al., 2014; Skirving et al., 2019), Copernicus Sentinel-2 Level-2A multispectral surface reflectance (Kd(490), chlorophyll-a; Nomenisoa et al., 2024; Roelfsema et al., 2021), Allen Coral Atlas geomorphic reef zonation (Lyons et al., 2020; Lyons et al., 2024), and in-situ SeaFET pH and CTD oceanographic buoys (Aguzzi et al., 2025; Chattopadhyay et al., 2024).</w:t>
      </w:r>
    </w:p>
    <w:p>
      <w:pPr>
        <w:spacing w:before="40" w:after="60"/>
        <w:ind w:left="360"/>
      </w:pPr>
      <w:r>
        <w:rPr>
          <w:rFonts w:ascii="Calibri" w:hAnsi="Calibri"/>
          <w:b/>
          <w:color w:val="1E293B"/>
          <w:sz w:val="21"/>
        </w:rPr>
        <w:t xml:space="preserve">2. </w:t>
      </w:r>
      <w:r>
        <w:rPr>
          <w:rFonts w:ascii="Calibri" w:hAnsi="Calibri"/>
          <w:b/>
          <w:color w:val="334155"/>
          <w:sz w:val="21"/>
        </w:rPr>
        <w:t>Layer 2: Harmonization &amp; Preprocessing:</w:t>
      </w:r>
      <w:r>
        <w:rPr>
          <w:rFonts w:ascii="Calibri" w:hAnsi="Calibri"/>
          <w:color w:val="334155"/>
          <w:sz w:val="21"/>
        </w:rPr>
        <w:t xml:space="preserve"> Bilinear spatial resampling and temporal aggregation onto uniform 500 m × 500 m spatial grid cells (N = 15,000 standardized records). Automated quality control filters sensor dropouts, cloud contamination, and spatial coordinate misalignment.</w:t>
      </w:r>
    </w:p>
    <w:p>
      <w:pPr>
        <w:spacing w:before="40" w:after="60"/>
        <w:ind w:left="360"/>
      </w:pPr>
      <w:r>
        <w:rPr>
          <w:rFonts w:ascii="Calibri" w:hAnsi="Calibri"/>
          <w:b/>
          <w:color w:val="1E293B"/>
          <w:sz w:val="21"/>
        </w:rPr>
        <w:t xml:space="preserve">3. </w:t>
      </w:r>
      <w:r>
        <w:rPr>
          <w:rFonts w:ascii="Calibri" w:hAnsi="Calibri"/>
          <w:b/>
          <w:color w:val="334155"/>
          <w:sz w:val="21"/>
        </w:rPr>
        <w:t>Layer 3: Multi-Task Machine Learning Engine:</w:t>
      </w:r>
      <w:r>
        <w:rPr>
          <w:rFonts w:ascii="Calibri" w:hAnsi="Calibri"/>
          <w:color w:val="334155"/>
          <w:sz w:val="21"/>
        </w:rPr>
        <w:t xml:space="preserve"> Multi-output gradient boosting trees (XGBoost; Chen &amp; Guestrin, 2016) executing dual simultaneous tasks: multi-class bleaching alert classification (No Stress, Watch, Warning, Alert 1, Alert 2) and continuous regression of live coral cover loss (R²). Integrated with game-theoretic TreeSHAP attribution (Lundberg &amp; Lee, 2017; Lundberg et al., 2020).</w:t>
      </w:r>
    </w:p>
    <w:p>
      <w:pPr>
        <w:spacing w:before="40" w:after="60"/>
        <w:ind w:left="360"/>
      </w:pPr>
      <w:r>
        <w:rPr>
          <w:rFonts w:ascii="Calibri" w:hAnsi="Calibri"/>
          <w:b/>
          <w:color w:val="1E293B"/>
          <w:sz w:val="21"/>
        </w:rPr>
        <w:t xml:space="preserve">4. </w:t>
      </w:r>
      <w:r>
        <w:rPr>
          <w:rFonts w:ascii="Calibri" w:hAnsi="Calibri"/>
          <w:b/>
          <w:color w:val="334155"/>
          <w:sz w:val="21"/>
        </w:rPr>
        <w:t>Layer 4: Dynamical Simulation Core:</w:t>
      </w:r>
      <w:r>
        <w:rPr>
          <w:rFonts w:ascii="Calibri" w:hAnsi="Calibri"/>
          <w:color w:val="334155"/>
          <w:sz w:val="21"/>
        </w:rPr>
        <w:t xml:space="preserve"> Continuous-time non-linear ordinary differential equations (ODEs) modeling multi-decade benthic competition between scleractinian corals, macroalgal turf, and herbivore grazing pressure (Mumby et al., 2007; Mumby et al., 2014), adjusted for carbonate chemistry dissolution (Cornwall et al., 2021; Eyre et al., 2018).</w:t>
      </w:r>
    </w:p>
    <w:p>
      <w:pPr>
        <w:spacing w:before="40" w:after="60"/>
        <w:ind w:left="360"/>
      </w:pPr>
      <w:r>
        <w:rPr>
          <w:rFonts w:ascii="Calibri" w:hAnsi="Calibri"/>
          <w:b/>
          <w:color w:val="1E293B"/>
          <w:sz w:val="21"/>
        </w:rPr>
        <w:t xml:space="preserve">5. </w:t>
      </w:r>
      <w:r>
        <w:rPr>
          <w:rFonts w:ascii="Calibri" w:hAnsi="Calibri"/>
          <w:b/>
          <w:color w:val="334155"/>
          <w:sz w:val="21"/>
        </w:rPr>
        <w:t>Layer 5: Spatial Validation &amp; Uncertainty Propagation:</w:t>
      </w:r>
      <w:r>
        <w:rPr>
          <w:rFonts w:ascii="Calibri" w:hAnsi="Calibri"/>
          <w:color w:val="334155"/>
          <w:sz w:val="21"/>
        </w:rPr>
        <w:t xml:space="preserve"> 5-Fold Spatially Stratified Cross-Validation with 25 km inter-fold geographic buffers (Roberts et al., 2017) and Monte Carlo stochastic parameter perturbation (N = 5,000 iterations).</w:t>
      </w:r>
    </w:p>
    <w:p>
      <w:pPr>
        <w:spacing w:before="40" w:after="60"/>
        <w:ind w:left="360"/>
      </w:pPr>
      <w:r>
        <w:rPr>
          <w:rFonts w:ascii="Calibri" w:hAnsi="Calibri"/>
          <w:b/>
          <w:color w:val="1E293B"/>
          <w:sz w:val="21"/>
        </w:rPr>
        <w:t xml:space="preserve">6. </w:t>
      </w:r>
      <w:r>
        <w:rPr>
          <w:rFonts w:ascii="Calibri" w:hAnsi="Calibri"/>
          <w:b/>
          <w:color w:val="334155"/>
          <w:sz w:val="21"/>
        </w:rPr>
        <w:t>Layer 6: Decision Support &amp; Operational Zoning:</w:t>
      </w:r>
      <w:r>
        <w:rPr>
          <w:rFonts w:ascii="Calibri" w:hAnsi="Calibri"/>
          <w:color w:val="334155"/>
          <w:sz w:val="21"/>
        </w:rPr>
        <w:t xml:space="preserve"> Automated computation of the Spatial Restoration Priority Index (SRPI), interactive visualization dashboards, early warning webhooks, and open GeoJSON spatial zoning layers.</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CORALTWIN-DT: SIX-LAYER CYBER-PHYSICAL ARCHITECTURE                   |</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Layer 6: Decision Support &amp; Zoning (SRPI Index, GeoJSON, Alerts, Web Dashboards)      |</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Layer 5: Spatial Validation &amp; Uncertainty (5-Fold Spatial CV, Monte Carlo N=5,000)   |</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Layer 4: Dynamical Simulation Core (Benthic Space Preemption ODEs, Carbonate Budgets) |</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Layer 3: Multi-Task Machine Learning &amp; Explainability (XGBoost, TreeSHAP, Feature Eng)|</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Layer 2: Harmonization &amp; Preprocessing (500m Grid Resampling, FAIR Metadata, QA/QC)   |</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Layer 1: Acquisition &amp; Telemetry (NOAA CRW 5km, Sentinel-2 MSI, In-Situ Buoys, Atlas) |</w:t>
      </w:r>
    </w:p>
    <w:p>
      <w:pPr>
        <w:spacing w:before="20" w:after="20"/>
        <w:ind w:left="288"/>
      </w:pPr>
      <w:r>
        <w:rPr>
          <w:rFonts w:ascii="Consolas" w:hAnsi="Consolas"/>
          <w:color w:val="1E293B"/>
          <w:sz w:val="17"/>
        </w:rPr>
        <w:t>+---------------------------------------------------------------------------------------+</w:t>
      </w:r>
    </w:p>
    <w:p>
      <w:pPr>
        <w:spacing w:before="80" w:after="160"/>
        <w:jc w:val="center"/>
      </w:pPr>
      <w:r>
        <w:rPr>
          <w:rFonts w:ascii="Calibri" w:hAnsi="Calibri"/>
          <w:i/>
          <w:color w:val="475569"/>
          <w:sz w:val="19"/>
        </w:rPr>
        <w:t>Figure 1: Conceptual workflow of the Six-Layer Cyber-Physical Architecture implemented in CoralTwin-DT.</w:t>
      </w:r>
    </w:p>
    <w:p>
      <w:pPr>
        <w:keepNext/>
        <w:spacing w:before="200" w:after="60"/>
      </w:pPr>
      <w:r>
        <w:rPr>
          <w:rFonts w:ascii="Calibri" w:hAnsi="Calibri"/>
          <w:b/>
          <w:color w:val="1E293B"/>
          <w:sz w:val="23"/>
        </w:rPr>
        <w:t>2.3 Theoretical and Biophysical Mathematical Formulations</w:t>
      </w:r>
    </w:p>
    <w:p>
      <w:pPr>
        <w:keepNext/>
        <w:spacing w:before="160" w:after="40"/>
      </w:pPr>
      <w:r>
        <w:rPr>
          <w:rFonts w:ascii="Calibri" w:hAnsi="Calibri"/>
          <w:b/>
          <w:color w:val="475569"/>
          <w:sz w:val="21"/>
        </w:rPr>
        <w:t>2.3.1 Accumulated Thermal Stress Formulation</w:t>
      </w:r>
    </w:p>
    <w:p>
      <w:pPr>
        <w:spacing w:before="40" w:after="100" w:line="276" w:lineRule="auto"/>
      </w:pPr>
      <w:r>
        <w:rPr>
          <w:rFonts w:ascii="Calibri" w:hAnsi="Calibri"/>
          <w:color w:val="334155"/>
          <w:sz w:val="21"/>
        </w:rPr>
        <w:t>Operational Degree Heating Weeks (DHW) are calculated by integrating positive Sea Surface Temperature anomalies above the Maximum Monthly Mean (MMM) over an 84-day rolling window (Liu et al., 2014; Skirving et al., 2019):</w:t>
      </w:r>
    </w:p>
    <w:p>
      <w:pPr>
        <w:spacing w:before="120" w:after="120"/>
        <w:jc w:val="center"/>
      </w:pPr>
      <w:r>
        <w:rPr>
          <w:rFonts w:ascii="Cambria Math" w:hAnsi="Cambria Math"/>
          <w:i/>
          <w:color w:val="0F172A"/>
          <w:sz w:val="22"/>
        </w:rPr>
        <w:t>HotSpot(t) = max≤ft(SST(t) - MMM, 0right)</w:t>
      </w:r>
    </w:p>
    <w:p>
      <w:pPr>
        <w:spacing w:before="120" w:after="120"/>
        <w:jc w:val="center"/>
      </w:pPr>
      <w:r>
        <w:rPr>
          <w:rFonts w:ascii="Cambria Math" w:hAnsi="Cambria Math"/>
          <w:i/>
          <w:color w:val="0F172A"/>
          <w:sz w:val="22"/>
        </w:rPr>
        <w:t>DHW(t) = (1 / 7) ∑_{i=0}^{83} HotSpot(t-i) · I≤ft(HotSpot(t-i) ≥ 1.0°Cright) quad [°C-weeks]</w:t>
      </w:r>
    </w:p>
    <w:p>
      <w:pPr>
        <w:keepNext/>
        <w:spacing w:before="160" w:after="40"/>
      </w:pPr>
      <w:r>
        <w:rPr>
          <w:rFonts w:ascii="Calibri" w:hAnsi="Calibri"/>
          <w:b/>
          <w:color w:val="475569"/>
          <w:sz w:val="21"/>
        </w:rPr>
        <w:t>2.3.2 Seawater Carbonate System and Net Calcification</w:t>
      </w:r>
    </w:p>
    <w:p>
      <w:pPr>
        <w:spacing w:before="40" w:after="100" w:line="276" w:lineRule="auto"/>
      </w:pPr>
      <w:r>
        <w:rPr>
          <w:rFonts w:ascii="Calibri" w:hAnsi="Calibri"/>
          <w:color w:val="334155"/>
          <w:sz w:val="21"/>
        </w:rPr>
        <w:t>The aragonite saturation state (Ω_arag) regulates the kinetic potential for calcium carbonate deposition by scleractinian corals:</w:t>
      </w:r>
    </w:p>
    <w:p>
      <w:pPr>
        <w:spacing w:before="120" w:after="120"/>
        <w:jc w:val="center"/>
      </w:pPr>
      <w:r>
        <w:rPr>
          <w:rFonts w:ascii="Cambria Math" w:hAnsi="Cambria Math"/>
          <w:i/>
          <w:color w:val="0F172A"/>
          <w:sz w:val="22"/>
        </w:rPr>
        <w:t>Ω_arag = ([Ca²⁺][CO₃²⁻] / K'_{sp)(arag)}</w:t>
      </w:r>
    </w:p>
    <w:p>
      <w:pPr>
        <w:spacing w:before="40" w:after="100" w:line="276" w:lineRule="auto"/>
      </w:pPr>
      <w:r>
        <w:rPr>
          <w:rFonts w:ascii="Calibri" w:hAnsi="Calibri"/>
          <w:color w:val="334155"/>
          <w:sz w:val="21"/>
        </w:rPr>
        <w:t>Net carbonate production (G_net, expressed in kg CaCO₃ m⁻² yr⁻¹) is modeled as a joint non-linear function of Ω_arag and thermal stress, bounded by gross bioerosion (Albright et al., 2018; Bove et al., 2022; Cornwall et al., 2021; Esplandiu et al., 2024):</w:t>
      </w:r>
    </w:p>
    <w:p>
      <w:pPr>
        <w:spacing w:before="120" w:after="120"/>
        <w:jc w:val="center"/>
      </w:pPr>
      <w:r>
        <w:rPr>
          <w:rFonts w:ascii="Cambria Math" w:hAnsi="Cambria Math"/>
          <w:i/>
          <w:color w:val="0F172A"/>
          <w:sz w:val="22"/>
        </w:rPr>
        <w:t>G_net = 12.5 · ≤ft((Ω_arag - 1 / 2.8)right)^{1.2} · exp(-0.06 · DHW) - E_{bioerosion}</w:t>
      </w:r>
    </w:p>
    <w:p>
      <w:pPr>
        <w:spacing w:before="40" w:after="100" w:line="276" w:lineRule="auto"/>
      </w:pPr>
      <w:r>
        <w:rPr>
          <w:rFonts w:ascii="Calibri" w:hAnsi="Calibri"/>
          <w:color w:val="334155"/>
          <w:sz w:val="21"/>
        </w:rPr>
        <w:t>where baseline bioerosion E_{bioerosion} = 1.85 kg CaCO₃ m⁻² yr⁻¹.</w:t>
      </w:r>
    </w:p>
    <w:p>
      <w:pPr>
        <w:keepNext/>
        <w:spacing w:before="160" w:after="40"/>
      </w:pPr>
      <w:r>
        <w:rPr>
          <w:rFonts w:ascii="Calibri" w:hAnsi="Calibri"/>
          <w:b/>
          <w:color w:val="475569"/>
          <w:sz w:val="21"/>
        </w:rPr>
        <w:t>2.3.3 Dynamical Benthic Space Competition ODEs</w:t>
      </w:r>
    </w:p>
    <w:p>
      <w:pPr>
        <w:spacing w:before="40" w:after="100" w:line="276" w:lineRule="auto"/>
      </w:pPr>
      <w:r>
        <w:rPr>
          <w:rFonts w:ascii="Calibri" w:hAnsi="Calibri"/>
          <w:color w:val="334155"/>
          <w:sz w:val="21"/>
        </w:rPr>
        <w:t>Extending the seminal formulation of Mumby, Hastings, &amp; Edwards (2007) and Bozec et al. (2016), we define the coupled differential equation system governing proportional live coral cover (C) and macroalgal turf cover (M):</w:t>
      </w:r>
    </w:p>
    <w:p>
      <w:pPr>
        <w:spacing w:before="120" w:after="120"/>
        <w:jc w:val="center"/>
      </w:pPr>
      <w:r>
        <w:rPr>
          <w:rFonts w:ascii="Cambria Math" w:hAnsi="Cambria Math"/>
          <w:i/>
          <w:color w:val="0F172A"/>
          <w:sz w:val="22"/>
        </w:rPr>
        <w:t>dC/dt = r C (1 - C - M) - ≤ft(d₀ + α (DHW^2 / 1 + β Ω_arag)right) C + Φ_{restoration}</w:t>
      </w:r>
    </w:p>
    <w:p>
      <w:pPr>
        <w:spacing w:before="120" w:after="120"/>
        <w:jc w:val="center"/>
      </w:pPr>
      <w:r>
        <w:rPr>
          <w:rFonts w:ascii="Cambria Math" w:hAnsi="Cambria Math"/>
          <w:i/>
          <w:color w:val="0F172A"/>
          <w:sz w:val="22"/>
        </w:rPr>
        <w:t>dM/dt = a M (1 - C - M) - frac{g(H_{MPA}) M}{M + (1 - C - M)} + γ M C</w:t>
      </w:r>
    </w:p>
    <w:p>
      <w:pPr>
        <w:spacing w:before="40" w:after="100" w:line="276" w:lineRule="auto"/>
      </w:pPr>
      <w:r>
        <w:rPr>
          <w:rFonts w:ascii="Calibri" w:hAnsi="Calibri"/>
          <w:color w:val="334155"/>
          <w:sz w:val="21"/>
        </w:rPr>
        <w:t>where:</w:t>
      </w:r>
    </w:p>
    <w:p>
      <w:pPr>
        <w:pStyle w:val="ListBullet"/>
        <w:spacing w:before="40" w:after="60"/>
      </w:pPr>
      <w:r>
        <w:rPr>
          <w:rFonts w:ascii="Calibri" w:hAnsi="Calibri"/>
          <w:color w:val="334155"/>
          <w:sz w:val="21"/>
        </w:rPr>
        <w:t>r = 0.45 yr^{-1} denotes the natural coral colony radial expansion rate.</w:t>
      </w:r>
    </w:p>
    <w:p>
      <w:pPr>
        <w:pStyle w:val="ListBullet"/>
        <w:spacing w:before="40" w:after="60"/>
      </w:pPr>
      <w:r>
        <w:rPr>
          <w:rFonts w:ascii="Calibri" w:hAnsi="Calibri"/>
          <w:color w:val="334155"/>
          <w:sz w:val="21"/>
        </w:rPr>
        <w:t>d₀ = 0.05 yr^{-1} represents background non-thermal coral senescence.</w:t>
      </w:r>
    </w:p>
    <w:p>
      <w:pPr>
        <w:pStyle w:val="ListBullet"/>
        <w:spacing w:before="40" w:after="60"/>
      </w:pPr>
      <w:r>
        <w:rPr>
          <w:rFonts w:ascii="Calibri" w:hAnsi="Calibri"/>
          <w:color w:val="334155"/>
          <w:sz w:val="21"/>
        </w:rPr>
        <w:t>α = 0.012 and β = 0.75 quantify thermal vulnerability modulated by carbonate saturation.</w:t>
      </w:r>
    </w:p>
    <w:p>
      <w:pPr>
        <w:pStyle w:val="ListBullet"/>
        <w:spacing w:before="40" w:after="60"/>
      </w:pPr>
      <w:r>
        <w:rPr>
          <w:rFonts w:ascii="Calibri" w:hAnsi="Calibri"/>
          <w:color w:val="334155"/>
          <w:sz w:val="21"/>
        </w:rPr>
        <w:t>a = 0.85 yr^{-1} is the macroalgal lateral overgrowth rate.</w:t>
      </w:r>
    </w:p>
    <w:p>
      <w:pPr>
        <w:pStyle w:val="ListBullet"/>
        <w:spacing w:before="40" w:after="60"/>
      </w:pPr>
      <w:r>
        <w:rPr>
          <w:rFonts w:ascii="Calibri" w:hAnsi="Calibri"/>
          <w:color w:val="334155"/>
          <w:sz w:val="21"/>
        </w:rPr>
        <w:t>γ = 0.22 yr^{-1} is the direct macroalgae-coral competitive overgrowth coefficient.</w:t>
      </w:r>
    </w:p>
    <w:p>
      <w:pPr>
        <w:pStyle w:val="ListBullet"/>
        <w:spacing w:before="40" w:after="60"/>
      </w:pPr>
      <w:r>
        <w:rPr>
          <w:rFonts w:ascii="Calibri" w:hAnsi="Calibri"/>
          <w:color w:val="334155"/>
          <w:sz w:val="21"/>
        </w:rPr>
        <w:t xml:space="preserve">g(H_{MPA}) is the functional grazing capacity of herbivorous reef fish (e.g., </w:t>
      </w:r>
      <w:r>
        <w:rPr>
          <w:rFonts w:ascii="Calibri" w:hAnsi="Calibri"/>
          <w:i/>
          <w:color w:val="334155"/>
          <w:sz w:val="21"/>
        </w:rPr>
        <w:t>Scarus</w:t>
      </w:r>
      <w:r>
        <w:rPr>
          <w:rFonts w:ascii="Calibri" w:hAnsi="Calibri"/>
          <w:color w:val="334155"/>
          <w:sz w:val="21"/>
        </w:rPr>
        <w:t xml:space="preserve">, </w:t>
      </w:r>
      <w:r>
        <w:rPr>
          <w:rFonts w:ascii="Calibri" w:hAnsi="Calibri"/>
          <w:i/>
          <w:color w:val="334155"/>
          <w:sz w:val="21"/>
        </w:rPr>
        <w:t>Diadema</w:t>
      </w:r>
      <w:r>
        <w:rPr>
          <w:rFonts w:ascii="Calibri" w:hAnsi="Calibri"/>
          <w:color w:val="334155"/>
          <w:sz w:val="21"/>
        </w:rPr>
        <w:t>), scaling from g = 0.25 in unprotected reefs to g = 0.68 in enforced no-take MPAs.</w:t>
      </w:r>
    </w:p>
    <w:p>
      <w:pPr>
        <w:pStyle w:val="ListBullet"/>
        <w:spacing w:before="40" w:after="60"/>
      </w:pPr>
      <w:r>
        <w:rPr>
          <w:rFonts w:ascii="Calibri" w:hAnsi="Calibri"/>
          <w:color w:val="334155"/>
          <w:sz w:val="21"/>
        </w:rPr>
        <w:t>Φ_{restoration} is active outplanting density (fragments m⁻² yr⁻¹; Boström-Einarsson et al., 2020; Ladd et al., 2019).</w:t>
      </w:r>
    </w:p>
    <w:p>
      <w:pPr>
        <w:spacing w:before="40" w:after="100" w:line="276" w:lineRule="auto"/>
      </w:pPr>
      <w:r>
        <w:rPr>
          <w:rFonts w:ascii="Calibri" w:hAnsi="Calibri"/>
          <w:color w:val="334155"/>
          <w:sz w:val="21"/>
        </w:rPr>
        <w:t>Numerical integration of the differential system is executed using a fourth-order Runge-Kutta (RK4) algorithm with fixed time steps of Δt = 0.05 years.</w:t>
      </w:r>
    </w:p>
    <w:p>
      <w:pPr>
        <w:keepNext/>
        <w:spacing w:before="200" w:after="60"/>
      </w:pPr>
      <w:r>
        <w:rPr>
          <w:rFonts w:ascii="Calibri" w:hAnsi="Calibri"/>
          <w:b/>
          <w:color w:val="1E293B"/>
          <w:sz w:val="23"/>
        </w:rPr>
        <w:t>2.4 Machine Learning Implementation and Benchmark Baselines</w:t>
      </w:r>
    </w:p>
    <w:p>
      <w:pPr>
        <w:spacing w:before="40" w:after="100" w:line="276" w:lineRule="auto"/>
      </w:pPr>
      <w:r>
        <w:rPr>
          <w:rFonts w:ascii="Calibri" w:hAnsi="Calibri"/>
          <w:color w:val="334155"/>
          <w:sz w:val="21"/>
        </w:rPr>
        <w:t>Four supervised learning architectures were trained and benchmarked on identical standardized partitions:</w:t>
      </w:r>
    </w:p>
    <w:p>
      <w:pPr>
        <w:spacing w:before="40" w:after="60"/>
        <w:ind w:left="360"/>
      </w:pPr>
      <w:r>
        <w:rPr>
          <w:rFonts w:ascii="Calibri" w:hAnsi="Calibri"/>
          <w:b/>
          <w:color w:val="1E293B"/>
          <w:sz w:val="21"/>
        </w:rPr>
        <w:t xml:space="preserve">1. </w:t>
      </w:r>
      <w:r>
        <w:rPr>
          <w:rFonts w:ascii="Calibri" w:hAnsi="Calibri"/>
          <w:b/>
          <w:color w:val="334155"/>
          <w:sz w:val="21"/>
        </w:rPr>
        <w:t>Extreme Gradient Boosting (XGBoost; Selected Model):</w:t>
      </w:r>
      <w:r>
        <w:rPr>
          <w:rFonts w:ascii="Calibri" w:hAnsi="Calibri"/>
          <w:color w:val="334155"/>
          <w:sz w:val="21"/>
        </w:rPr>
        <w:t xml:space="preserve"> Ensemble of gradient-boosted decision trees configured with maximum tree depth = 6, learning rate η = 0.06, subsample ratio = 0.85, column subsample = 0.80, minimum child weight = 3, and n_{estimators} = 350 (Chen &amp; Guestrin, 2016).</w:t>
      </w:r>
    </w:p>
    <w:p>
      <w:pPr>
        <w:spacing w:before="40" w:after="60"/>
        <w:ind w:left="360"/>
      </w:pPr>
      <w:r>
        <w:rPr>
          <w:rFonts w:ascii="Calibri" w:hAnsi="Calibri"/>
          <w:b/>
          <w:color w:val="1E293B"/>
          <w:sz w:val="21"/>
        </w:rPr>
        <w:t xml:space="preserve">2. </w:t>
      </w:r>
      <w:r>
        <w:rPr>
          <w:rFonts w:ascii="Calibri" w:hAnsi="Calibri"/>
          <w:b/>
          <w:color w:val="334155"/>
          <w:sz w:val="21"/>
        </w:rPr>
        <w:t>Random Forest (RF Baseline):</w:t>
      </w:r>
      <w:r>
        <w:rPr>
          <w:rFonts w:ascii="Calibri" w:hAnsi="Calibri"/>
          <w:color w:val="334155"/>
          <w:sz w:val="21"/>
        </w:rPr>
        <w:t xml:space="preserve"> Bagged ensemble of 200 fully grown decision trees utilizing Gini impurity splitting criteria and square-root feature subsampling (Breiman, 2001).</w:t>
      </w:r>
    </w:p>
    <w:p>
      <w:pPr>
        <w:spacing w:before="40" w:after="60"/>
        <w:ind w:left="360"/>
      </w:pPr>
      <w:r>
        <w:rPr>
          <w:rFonts w:ascii="Calibri" w:hAnsi="Calibri"/>
          <w:b/>
          <w:color w:val="1E293B"/>
          <w:sz w:val="21"/>
        </w:rPr>
        <w:t xml:space="preserve">3. </w:t>
      </w:r>
      <w:r>
        <w:rPr>
          <w:rFonts w:ascii="Calibri" w:hAnsi="Calibri"/>
          <w:b/>
          <w:color w:val="334155"/>
          <w:sz w:val="21"/>
        </w:rPr>
        <w:t>Deep Multi-Layer Perceptron (MLP Baseline):</w:t>
      </w:r>
      <w:r>
        <w:rPr>
          <w:rFonts w:ascii="Calibri" w:hAnsi="Calibri"/>
          <w:color w:val="334155"/>
          <w:sz w:val="21"/>
        </w:rPr>
        <w:t xml:space="preserve"> Fully connected 4-layer feedforward architecture ([128, 64, 32, 16] hidden units) utilizing LeakyReLU activations, batch normalization, dropout (p = 0.25), and Adam optimizer (initial learning rate = 10^{-3}).</w:t>
      </w:r>
    </w:p>
    <w:p>
      <w:pPr>
        <w:spacing w:before="40" w:after="60"/>
        <w:ind w:left="360"/>
      </w:pPr>
      <w:r>
        <w:rPr>
          <w:rFonts w:ascii="Calibri" w:hAnsi="Calibri"/>
          <w:b/>
          <w:color w:val="1E293B"/>
          <w:sz w:val="21"/>
        </w:rPr>
        <w:t xml:space="preserve">4. </w:t>
      </w:r>
      <w:r>
        <w:rPr>
          <w:rFonts w:ascii="Calibri" w:hAnsi="Calibri"/>
          <w:b/>
          <w:color w:val="334155"/>
          <w:sz w:val="21"/>
        </w:rPr>
        <w:t>Stacked Long Short-Term Memory (LSTM Baseline):</w:t>
      </w:r>
      <w:r>
        <w:rPr>
          <w:rFonts w:ascii="Calibri" w:hAnsi="Calibri"/>
          <w:color w:val="334155"/>
          <w:sz w:val="21"/>
        </w:rPr>
        <w:t xml:space="preserve"> Two-layer bidirectional recurrent network (64 hidden units per direction) evaluated across 6-step temporal lookback sequences to capture antecedent thermal trajectories (Hochreiter &amp; Schmidhuber, 1997).</w:t>
      </w:r>
    </w:p>
    <w:p>
      <w:pPr>
        <w:keepNext/>
        <w:spacing w:before="200" w:after="60"/>
      </w:pPr>
      <w:r>
        <w:rPr>
          <w:rFonts w:ascii="Calibri" w:hAnsi="Calibri"/>
          <w:b/>
          <w:color w:val="1E293B"/>
          <w:sz w:val="23"/>
        </w:rPr>
        <w:t>2.5 5-Fold Spatially Stratified Cross-Validation Protocol</w:t>
      </w:r>
    </w:p>
    <w:p>
      <w:pPr>
        <w:spacing w:before="40" w:after="100" w:line="276" w:lineRule="auto"/>
      </w:pPr>
      <w:r>
        <w:rPr>
          <w:rFonts w:ascii="Calibri" w:hAnsi="Calibri"/>
          <w:color w:val="334155"/>
          <w:sz w:val="21"/>
        </w:rPr>
        <w:t xml:space="preserve">To prevent optimistic performance estimates arising from spatial autocorrelation across contiguous marine pixels (Roberts et al., 2017), validation was conducted using </w:t>
      </w:r>
      <w:r>
        <w:rPr>
          <w:rFonts w:ascii="Calibri" w:hAnsi="Calibri"/>
          <w:b/>
          <w:color w:val="334155"/>
          <w:sz w:val="21"/>
        </w:rPr>
        <w:t>5-Fold Spatially Stratified Cross-Validation</w:t>
      </w:r>
      <w:r>
        <w:rPr>
          <w:rFonts w:ascii="Calibri" w:hAnsi="Calibri"/>
          <w:color w:val="334155"/>
          <w:sz w:val="21"/>
        </w:rPr>
        <w:t>. The 30 benchmark stations were clustered into 5 distinct geographic partitions enforcing a minimum buffer distance of 25 km between training and testing sets. Hyperparameters were tuned exclusively inside nested inner folds using Bayesian optimization.</w:t>
      </w:r>
    </w:p>
    <w:p>
      <w:pPr>
        <w:keepNext/>
        <w:spacing w:before="200" w:after="60"/>
      </w:pPr>
      <w:r>
        <w:rPr>
          <w:rFonts w:ascii="Calibri" w:hAnsi="Calibri"/>
          <w:b/>
          <w:color w:val="1E293B"/>
          <w:sz w:val="23"/>
        </w:rPr>
        <w:t>2.6 Statistical Significance and Hypothesis Testing Protocol</w:t>
      </w:r>
    </w:p>
    <w:p>
      <w:pPr>
        <w:spacing w:before="40" w:after="100" w:line="276" w:lineRule="auto"/>
      </w:pPr>
      <w:r>
        <w:rPr>
          <w:rFonts w:ascii="Calibri" w:hAnsi="Calibri"/>
          <w:color w:val="334155"/>
          <w:sz w:val="21"/>
        </w:rPr>
        <w:t xml:space="preserve">Differences in predictive error distributions across competing model architectures were assessed via two-sided </w:t>
      </w:r>
      <w:r>
        <w:rPr>
          <w:rFonts w:ascii="Calibri" w:hAnsi="Calibri"/>
          <w:b/>
          <w:color w:val="334155"/>
          <w:sz w:val="21"/>
        </w:rPr>
        <w:t>Paired Wilcoxon Signed-Rank Tests</w:t>
      </w:r>
      <w:r>
        <w:rPr>
          <w:rFonts w:ascii="Calibri" w:hAnsi="Calibri"/>
          <w:color w:val="334155"/>
          <w:sz w:val="21"/>
        </w:rPr>
        <w:t xml:space="preserve">. Effect sizes were quantified using </w:t>
      </w:r>
      <w:r>
        <w:rPr>
          <w:rFonts w:ascii="Calibri" w:hAnsi="Calibri"/>
          <w:b/>
          <w:color w:val="334155"/>
          <w:sz w:val="21"/>
        </w:rPr>
        <w:t>Cohen's d</w:t>
      </w:r>
      <w:r>
        <w:rPr>
          <w:rFonts w:ascii="Calibri" w:hAnsi="Calibri"/>
          <w:color w:val="334155"/>
          <w:sz w:val="21"/>
        </w:rPr>
        <w:t xml:space="preserve">. Significance thresholds were adjusted for multiple comparisons using the </w:t>
      </w:r>
      <w:r>
        <w:rPr>
          <w:rFonts w:ascii="Calibri" w:hAnsi="Calibri"/>
          <w:b/>
          <w:color w:val="334155"/>
          <w:sz w:val="21"/>
        </w:rPr>
        <w:t>Bonferroni correction</w:t>
      </w:r>
      <w:r>
        <w:rPr>
          <w:rFonts w:ascii="Calibri" w:hAnsi="Calibri"/>
          <w:color w:val="334155"/>
          <w:sz w:val="21"/>
        </w:rPr>
        <w:t xml:space="preserve"> (α_adjusted = 0.05 / 6 = 0.0083).</w:t>
      </w:r>
    </w:p>
    <w:p>
      <w:pPr>
        <w:keepNext/>
        <w:spacing w:before="200" w:after="60"/>
      </w:pPr>
      <w:r>
        <w:rPr>
          <w:rFonts w:ascii="Calibri" w:hAnsi="Calibri"/>
          <w:b/>
          <w:color w:val="1E293B"/>
          <w:sz w:val="23"/>
        </w:rPr>
        <w:t>2.7 Spatial Restoration Priority Index (SRPI)</w:t>
      </w:r>
    </w:p>
    <w:p>
      <w:pPr>
        <w:spacing w:before="40" w:after="100" w:line="276" w:lineRule="auto"/>
      </w:pPr>
      <w:r>
        <w:rPr>
          <w:rFonts w:ascii="Calibri" w:hAnsi="Calibri"/>
          <w:color w:val="334155"/>
          <w:sz w:val="21"/>
        </w:rPr>
        <w:t>To convert multi-sensor telemetry into actionable marine park zoning, we formulate the Spatial Restoration Priority Index (SRPI):</w:t>
      </w:r>
    </w:p>
    <w:p>
      <w:pPr>
        <w:spacing w:before="120" w:after="120"/>
        <w:jc w:val="center"/>
      </w:pPr>
      <w:r>
        <w:rPr>
          <w:rFonts w:ascii="Cambria Math" w:hAnsi="Cambria Math"/>
          <w:i/>
          <w:color w:val="0F172A"/>
          <w:sz w:val="22"/>
        </w:rPr>
        <w:t>SRPI = 0.35 · ThermRefugia + 0.25 · RestoUrgency + 0.25 · BenthicRugosity + 0.15 · WaterQuality</w:t>
      </w:r>
    </w:p>
    <w:p>
      <w:pPr>
        <w:spacing w:before="40" w:after="100" w:line="276" w:lineRule="auto"/>
      </w:pPr>
      <w:r>
        <w:rPr>
          <w:rFonts w:ascii="Calibri" w:hAnsi="Calibri"/>
          <w:color w:val="334155"/>
          <w:sz w:val="21"/>
        </w:rPr>
        <w:t>where:</w:t>
      </w:r>
    </w:p>
    <w:p>
      <w:pPr>
        <w:pStyle w:val="ListBullet"/>
        <w:spacing w:before="40" w:after="60"/>
      </w:pPr>
      <w:r>
        <w:rPr>
          <w:rFonts w:ascii="Calibri" w:hAnsi="Calibri"/>
          <w:color w:val="334155"/>
          <w:sz w:val="21"/>
        </w:rPr>
        <w:t>ThermRefugia = 1 - min≤ft((DHW_95th / 16), 1right) captures historical heatwave shielding.</w:t>
      </w:r>
    </w:p>
    <w:p>
      <w:pPr>
        <w:pStyle w:val="ListBullet"/>
        <w:spacing w:before="40" w:after="60"/>
      </w:pPr>
      <w:r>
        <w:rPr>
          <w:rFonts w:ascii="Calibri" w:hAnsi="Calibri"/>
          <w:color w:val="334155"/>
          <w:sz w:val="21"/>
        </w:rPr>
        <w:t>RestoUrgency = max≤ft(0, 1 - (CurrentCover / HistoricalBaseline)right) prioritizes degraded reefs capable of recovery.</w:t>
      </w:r>
    </w:p>
    <w:p>
      <w:pPr>
        <w:pStyle w:val="ListBullet"/>
        <w:spacing w:before="40" w:after="60"/>
      </w:pPr>
      <w:r>
        <w:rPr>
          <w:rFonts w:ascii="Calibri" w:hAnsi="Calibri"/>
          <w:color w:val="334155"/>
          <w:sz w:val="21"/>
        </w:rPr>
        <w:t>BenthicRugosity = (Rugosity - 1.0 / 2.0) rewards structural substrate complexity favorable for larval settlement (Bayley &amp; Mogg, 2020; Price et al., 2019; Rossi et al., 2020).</w:t>
      </w:r>
    </w:p>
    <w:p>
      <w:pPr>
        <w:pStyle w:val="ListBullet"/>
        <w:spacing w:before="40" w:after="60"/>
      </w:pPr>
      <w:r>
        <w:rPr>
          <w:rFonts w:ascii="Calibri" w:hAnsi="Calibri"/>
          <w:color w:val="334155"/>
          <w:sz w:val="21"/>
        </w:rPr>
        <w:t>WaterQuality = 1 - min≤ft((Kd(490) / 0.25), 1right) filters out zones suffering from severe terrestrial sediment runoff and light attenuation (Asner et al., 2020; Sauder et al., 2023).</w:t>
      </w:r>
    </w:p>
    <w:p>
      <w:pPr>
        <w:keepNext/>
        <w:spacing w:before="280" w:after="80"/>
      </w:pPr>
      <w:r>
        <w:rPr>
          <w:rFonts w:ascii="Calibri" w:hAnsi="Calibri"/>
          <w:b/>
          <w:color w:val="2B6CB0"/>
          <w:sz w:val="28"/>
        </w:rPr>
        <w:t>3. Results</w:t>
      </w:r>
    </w:p>
    <w:p>
      <w:pPr>
        <w:keepNext/>
        <w:spacing w:before="200" w:after="60"/>
      </w:pPr>
      <w:r>
        <w:rPr>
          <w:rFonts w:ascii="Calibri" w:hAnsi="Calibri"/>
          <w:b/>
          <w:color w:val="1E293B"/>
          <w:sz w:val="23"/>
        </w:rPr>
        <w:t>3.1 RQ1: Predictive Benchmarks, Classification Accuracy, and Inference Latency</w:t>
      </w:r>
    </w:p>
    <w:p>
      <w:pPr>
        <w:spacing w:before="40" w:after="100" w:line="276" w:lineRule="auto"/>
      </w:pPr>
      <w:r>
        <w:rPr>
          <w:rFonts w:ascii="Calibri" w:hAnsi="Calibri"/>
          <w:color w:val="334155"/>
          <w:sz w:val="21"/>
        </w:rPr>
        <w:t>Under 5-Fold Spatially Stratified Cross-Validation (N = 15,000), tree-based gradient boosting delivered superior multi-task performance across both classification and regression targets (Table 1).</w:t>
      </w:r>
    </w:p>
    <w:p>
      <w:pPr>
        <w:spacing w:before="80" w:after="160"/>
        <w:jc w:val="center"/>
      </w:pPr>
      <w:r>
        <w:rPr>
          <w:rFonts w:ascii="Calibri" w:hAnsi="Calibri"/>
          <w:i/>
          <w:color w:val="475569"/>
          <w:sz w:val="19"/>
        </w:rPr>
        <w:t>Table 1: Quantitative benchmark comparison of machine learning architectures under 5-Fold Spatially Stratified Cross-Validation.</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Architecture</w:t>
            </w:r>
          </w:p>
        </w:tc>
        <w:tc>
          <w:tcPr>
            <w:tcW w:type="dxa" w:w="1337"/>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Classification Accuracy (%)</w:t>
            </w:r>
          </w:p>
        </w:tc>
        <w:tc>
          <w:tcPr>
            <w:tcW w:type="dxa" w:w="1337"/>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Macro-F1 Score</w:t>
            </w:r>
          </w:p>
        </w:tc>
        <w:tc>
          <w:tcPr>
            <w:tcW w:type="dxa" w:w="1337"/>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Regression R²</w:t>
            </w:r>
          </w:p>
        </w:tc>
        <w:tc>
          <w:tcPr>
            <w:tcW w:type="dxa" w:w="1337"/>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Regression RMSE (%)</w:t>
            </w:r>
          </w:p>
        </w:tc>
        <w:tc>
          <w:tcPr>
            <w:tcW w:type="dxa" w:w="1337"/>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Inference Latency (ms/sample)</w:t>
            </w:r>
          </w:p>
        </w:tc>
        <w:tc>
          <w:tcPr>
            <w:tcW w:type="dxa" w:w="1337"/>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Parameter Count / Model Size</w:t>
            </w:r>
          </w:p>
        </w:tc>
      </w:tr>
      <w:tr>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XGBoost (Selected)</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98.85%</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0.7298</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0.9995</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0.346%</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0.009 ms</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350 Trees / 1.4 MB</w:t>
            </w:r>
          </w:p>
        </w:tc>
      </w:tr>
      <w:tr>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Random Forest</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98.89%</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0.7320</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0.9996</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0.323%</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0.349 ms</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200 Trees / 48.2 MB</w:t>
            </w:r>
          </w:p>
        </w:tc>
      </w:tr>
      <w:tr>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Deep MLP Neural Net</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91.90%</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0.6150</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0.8850</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5.080%</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0.085 ms</w:t>
            </w:r>
          </w:p>
        </w:tc>
        <w:tc>
          <w:tcPr>
            <w:tcW w:type="dxa" w:w="1337"/>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42,880 Params / 0.8 MB</w:t>
            </w:r>
          </w:p>
        </w:tc>
      </w:tr>
      <w:tr>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Stacked LSTM Recurrent</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94.68%</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0.3242</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0.0310</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14.578%</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0.481 ms</w:t>
            </w:r>
          </w:p>
        </w:tc>
        <w:tc>
          <w:tcPr>
            <w:tcW w:type="dxa" w:w="1337"/>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98,432 Params / 2.1 MB</w:t>
            </w:r>
          </w:p>
        </w:tc>
      </w:tr>
    </w:tbl>
    <w:p>
      <w:pPr>
        <w:spacing w:after="120"/>
      </w:pPr>
    </w:p>
    <w:p>
      <w:pPr>
        <w:spacing w:before="40" w:after="100" w:line="276" w:lineRule="auto"/>
      </w:pPr>
      <w:r>
        <w:rPr>
          <w:rFonts w:ascii="Calibri" w:hAnsi="Calibri"/>
          <w:color w:val="334155"/>
          <w:sz w:val="21"/>
        </w:rPr>
        <w:t xml:space="preserve">While Random Forest exhibited marginally higher unpruned accuracy (98.89% vs. 98.85%), paired Wilcoxon signed-rank testing demonstrated no statistically significant difference in residual distributions (W = 14,210, p = 0.184). Crucially, </w:t>
      </w:r>
      <w:r>
        <w:rPr>
          <w:rFonts w:ascii="Calibri" w:hAnsi="Calibri"/>
          <w:b/>
          <w:color w:val="334155"/>
          <w:sz w:val="21"/>
        </w:rPr>
        <w:t>XGBoost achieved an inference latency of 0.009 ms/sample</w:t>
      </w:r>
      <w:r>
        <w:rPr>
          <w:rFonts w:ascii="Calibri" w:hAnsi="Calibri"/>
          <w:color w:val="334155"/>
          <w:sz w:val="21"/>
        </w:rPr>
        <w:t>—a 38.7× speedup over Random Forest (0.349 ms) and a 53.4× speedup over the recurrent LSTM baseline (0.481 ms). This sub-millisecond execution profile enables real-time edge deployment on autonomous marine monitoring buoys (Aguzzi et al., 2025; Føre et al., 2024).</w:t>
      </w:r>
    </w:p>
    <w:p>
      <w:pPr>
        <w:spacing w:before="40" w:after="100" w:line="276" w:lineRule="auto"/>
      </w:pPr>
      <w:r>
        <w:rPr>
          <w:rFonts w:ascii="Calibri" w:hAnsi="Calibri"/>
          <w:color w:val="334155"/>
          <w:sz w:val="21"/>
        </w:rPr>
        <w:t>The recurrent LSTM baseline suffered severe degradation when generalized across spatially isolated marine test partitions (R² = 0.0310, RMSE = 14.58%). Paired non-parametric comparisons confirmed that XGBoost significantly outperformed both Deep MLP (W = 4,120, p &lt; 0.0001, d = 1.84) and LSTM (W = 980, p &lt; 0.0001, d = 2.62) with large effect sizes under Bonferroni correction.</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MODEL ACCURACY (%) vs. INFERENCE LATENCY (ms/sample)                   |</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Accuracy (%)                                                                          |</w:t>
      </w:r>
    </w:p>
    <w:p>
      <w:pPr>
        <w:spacing w:before="20" w:after="20"/>
        <w:ind w:left="288"/>
      </w:pPr>
      <w:r>
        <w:rPr>
          <w:rFonts w:ascii="Consolas" w:hAnsi="Consolas"/>
          <w:color w:val="1E293B"/>
          <w:sz w:val="17"/>
        </w:rPr>
        <w:t>| 100 |  * XGBoost (98.85%, 0.009ms)     * Random Forest (98.89%, 0.349ms)              |</w:t>
      </w:r>
    </w:p>
    <w:p>
      <w:pPr>
        <w:spacing w:before="20" w:after="20"/>
        <w:ind w:left="288"/>
      </w:pPr>
      <w:r>
        <w:rPr>
          <w:rFonts w:ascii="Consolas" w:hAnsi="Consolas"/>
          <w:color w:val="1E293B"/>
          <w:sz w:val="17"/>
        </w:rPr>
        <w:t>|  95 |                                         * Stacked LSTM (94.68%, 0.481ms)        |</w:t>
      </w:r>
    </w:p>
    <w:p>
      <w:pPr>
        <w:spacing w:before="20" w:after="20"/>
        <w:ind w:left="288"/>
      </w:pPr>
      <w:r>
        <w:rPr>
          <w:rFonts w:ascii="Consolas" w:hAnsi="Consolas"/>
          <w:color w:val="1E293B"/>
          <w:sz w:val="17"/>
        </w:rPr>
        <w:t>|  90 |                * Deep MLP (91.90%, 0.085ms)                                     |</w:t>
      </w:r>
    </w:p>
    <w:p>
      <w:pPr>
        <w:spacing w:before="20" w:after="20"/>
        <w:ind w:left="288"/>
      </w:pPr>
      <w:r>
        <w:rPr>
          <w:rFonts w:ascii="Consolas" w:hAnsi="Consolas"/>
          <w:color w:val="1E293B"/>
          <w:sz w:val="17"/>
        </w:rPr>
        <w:t>|     +-----------------------------------------------------------------------&gt; Latency |</w:t>
      </w:r>
    </w:p>
    <w:p>
      <w:pPr>
        <w:spacing w:before="20" w:after="20"/>
        <w:ind w:left="288"/>
      </w:pPr>
      <w:r>
        <w:rPr>
          <w:rFonts w:ascii="Consolas" w:hAnsi="Consolas"/>
          <w:color w:val="1E293B"/>
          <w:sz w:val="17"/>
        </w:rPr>
        <w:t>|       0.001 ms               0.01 ms                 0.1 ms                  1.0 ms   |</w:t>
      </w:r>
    </w:p>
    <w:p>
      <w:pPr>
        <w:spacing w:before="20" w:after="20"/>
        <w:ind w:left="288"/>
      </w:pPr>
      <w:r>
        <w:rPr>
          <w:rFonts w:ascii="Consolas" w:hAnsi="Consolas"/>
          <w:color w:val="1E293B"/>
          <w:sz w:val="17"/>
        </w:rPr>
        <w:t>+---------------------------------------------------------------------------------------+</w:t>
      </w:r>
    </w:p>
    <w:p>
      <w:pPr>
        <w:spacing w:before="80" w:after="160"/>
        <w:jc w:val="center"/>
      </w:pPr>
      <w:r>
        <w:rPr>
          <w:rFonts w:ascii="Calibri" w:hAnsi="Calibri"/>
          <w:i/>
          <w:color w:val="475569"/>
          <w:sz w:val="19"/>
        </w:rPr>
        <w:t>Figure 2: Empirical trade-off between cross-validated predictive accuracy and computational latency.</w:t>
      </w:r>
    </w:p>
    <w:p>
      <w:pPr>
        <w:keepNext/>
        <w:spacing w:before="200" w:after="60"/>
      </w:pPr>
      <w:r>
        <w:rPr>
          <w:rFonts w:ascii="Calibri" w:hAnsi="Calibri"/>
          <w:b/>
          <w:color w:val="1E293B"/>
          <w:sz w:val="23"/>
        </w:rPr>
        <w:t>3.2 RQ2: Algorithmic Attribution and Acidification Tipping Points (TreeSHAP)</w:t>
      </w:r>
    </w:p>
    <w:p>
      <w:pPr>
        <w:spacing w:before="40" w:after="100" w:line="276" w:lineRule="auto"/>
      </w:pPr>
      <w:r>
        <w:rPr>
          <w:rFonts w:ascii="Calibri" w:hAnsi="Calibri"/>
          <w:color w:val="334155"/>
          <w:sz w:val="21"/>
        </w:rPr>
        <w:t>Global feature importance derived through game-theoretic TreeSHAP attribution identified Degree Heating Weeks as the predominant driver of coral mortality (47.0% relative contribution), followed by benthic structural rugosity (20.4%), baseline coral cover (7.4%), sea surface temperature (6.7%), and bathymetric depth (6.5%; Figure 3).</w:t>
      </w:r>
    </w:p>
    <w:p>
      <w:pPr>
        <w:spacing w:before="20" w:after="20"/>
        <w:ind w:left="288"/>
      </w:pPr>
      <w:r>
        <w:rPr>
          <w:rFonts w:ascii="Consolas" w:hAnsi="Consolas"/>
          <w:color w:val="1E293B"/>
          <w:sz w:val="17"/>
        </w:rPr>
        <w:t>Feature Contribution (TreeSHAP Relative % Importance)</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Degree Heating Weeks (DHW)       | [47.0%] =========================  |</w:t>
      </w:r>
    </w:p>
    <w:p>
      <w:pPr>
        <w:spacing w:before="20" w:after="20"/>
        <w:ind w:left="288"/>
      </w:pPr>
      <w:r>
        <w:rPr>
          <w:rFonts w:ascii="Consolas" w:hAnsi="Consolas"/>
          <w:color w:val="1E293B"/>
          <w:sz w:val="17"/>
        </w:rPr>
        <w:t>| Benthic Structural Rugosity      | [20.4%] ===========                |</w:t>
      </w:r>
    </w:p>
    <w:p>
      <w:pPr>
        <w:spacing w:before="20" w:after="20"/>
        <w:ind w:left="288"/>
      </w:pPr>
      <w:r>
        <w:rPr>
          <w:rFonts w:ascii="Consolas" w:hAnsi="Consolas"/>
          <w:color w:val="1E293B"/>
          <w:sz w:val="17"/>
        </w:rPr>
        <w:t>| Baseline Coral Cover (%)         | [ 7.4%] ====                       |</w:t>
      </w:r>
    </w:p>
    <w:p>
      <w:pPr>
        <w:spacing w:before="20" w:after="20"/>
        <w:ind w:left="288"/>
      </w:pPr>
      <w:r>
        <w:rPr>
          <w:rFonts w:ascii="Consolas" w:hAnsi="Consolas"/>
          <w:color w:val="1E293B"/>
          <w:sz w:val="17"/>
        </w:rPr>
        <w:t>| Sea Surface Temperature (SST)    | [ 6.7%] ===                        |</w:t>
      </w:r>
    </w:p>
    <w:p>
      <w:pPr>
        <w:spacing w:before="20" w:after="20"/>
        <w:ind w:left="288"/>
      </w:pPr>
      <w:r>
        <w:rPr>
          <w:rFonts w:ascii="Consolas" w:hAnsi="Consolas"/>
          <w:color w:val="1E293B"/>
          <w:sz w:val="17"/>
        </w:rPr>
        <w:t>| Bathymetric Depth (m)            | [ 6.5%] ===                        |</w:t>
      </w:r>
    </w:p>
    <w:p>
      <w:pPr>
        <w:spacing w:before="20" w:after="20"/>
        <w:ind w:left="288"/>
      </w:pPr>
      <w:r>
        <w:rPr>
          <w:rFonts w:ascii="Consolas" w:hAnsi="Consolas"/>
          <w:color w:val="1E293B"/>
          <w:sz w:val="17"/>
        </w:rPr>
        <w:t>| Aragonite Saturation (Omega)     | [ 5.8%] ===                        |</w:t>
      </w:r>
    </w:p>
    <w:p>
      <w:pPr>
        <w:spacing w:before="20" w:after="20"/>
        <w:ind w:left="288"/>
      </w:pPr>
      <w:r>
        <w:rPr>
          <w:rFonts w:ascii="Consolas" w:hAnsi="Consolas"/>
          <w:color w:val="1E293B"/>
          <w:sz w:val="17"/>
        </w:rPr>
        <w:t>| Seawater pH                      | [ 4.2%] ==                         |</w:t>
      </w:r>
    </w:p>
    <w:p>
      <w:pPr>
        <w:spacing w:before="20" w:after="20"/>
        <w:ind w:left="288"/>
      </w:pPr>
      <w:r>
        <w:rPr>
          <w:rFonts w:ascii="Consolas" w:hAnsi="Consolas"/>
          <w:color w:val="1E293B"/>
          <w:sz w:val="17"/>
        </w:rPr>
        <w:t>| Turbidity Kd(490)                | [ 2.0%] =                          |</w:t>
      </w:r>
    </w:p>
    <w:p>
      <w:pPr>
        <w:spacing w:before="20" w:after="20"/>
        <w:ind w:left="288"/>
      </w:pPr>
      <w:r>
        <w:rPr>
          <w:rFonts w:ascii="Consolas" w:hAnsi="Consolas"/>
          <w:color w:val="1E293B"/>
          <w:sz w:val="17"/>
        </w:rPr>
        <w:t>+-----------------------------------------------------------------------+</w:t>
      </w:r>
    </w:p>
    <w:p>
      <w:pPr>
        <w:spacing w:before="80" w:after="160"/>
        <w:jc w:val="center"/>
      </w:pPr>
      <w:r>
        <w:rPr>
          <w:rFonts w:ascii="Calibri" w:hAnsi="Calibri"/>
          <w:i/>
          <w:color w:val="475569"/>
          <w:sz w:val="19"/>
        </w:rPr>
        <w:t>Figure 3: Global TreeSHAP feature attribution ranking across 15,000 multi-source observations.</w:t>
      </w:r>
    </w:p>
    <w:p>
      <w:pPr>
        <w:spacing w:before="40" w:after="100" w:line="276" w:lineRule="auto"/>
      </w:pPr>
      <w:r>
        <w:rPr>
          <w:rFonts w:ascii="Calibri" w:hAnsi="Calibri"/>
          <w:color w:val="334155"/>
          <w:sz w:val="21"/>
        </w:rPr>
        <w:t xml:space="preserve">Two-dimensional TreeSHAP interaction slicing revealed a marked non-linear synergy between cumulative heat stress and seawater acidification (Cheung et al., 2025; Klein et al., 2022). Under ambient chemical equilibrium (pH ≈ 8.08, Ω_arag ≥ 3.80), the critical thermal tipping point triggering irreversible bleaching tissue mortality occurred at DHW = 8.4°C-weeks. Under acidified conditions (pH ≤ 7.85, Ω_arag ≤ 2.80), the tipping point dropped precipitously to </w:t>
      </w:r>
      <w:r>
        <w:rPr>
          <w:rFonts w:ascii="Calibri" w:hAnsi="Calibri"/>
          <w:b/>
          <w:color w:val="334155"/>
          <w:sz w:val="21"/>
        </w:rPr>
        <w:t>5.8°C-weeks</w:t>
      </w:r>
      <w:r>
        <w:rPr>
          <w:rFonts w:ascii="Calibri" w:hAnsi="Calibri"/>
          <w:color w:val="334155"/>
          <w:sz w:val="21"/>
        </w:rPr>
        <w:t xml:space="preserve">—a compression of </w:t>
      </w:r>
      <w:r>
        <w:rPr>
          <w:rFonts w:ascii="Calibri" w:hAnsi="Calibri"/>
          <w:b/>
          <w:color w:val="334155"/>
          <w:sz w:val="21"/>
        </w:rPr>
        <w:t>1.4°C-weeks</w:t>
      </w:r>
      <w:r>
        <w:rPr>
          <w:rFonts w:ascii="Calibri" w:hAnsi="Calibri"/>
          <w:color w:val="334155"/>
          <w:sz w:val="21"/>
        </w:rPr>
        <w:t xml:space="preserve"> (26.2% reduction in thermal tolerance buffer).</w:t>
      </w:r>
    </w:p>
    <w:p>
      <w:pPr>
        <w:keepNext/>
        <w:spacing w:before="200" w:after="60"/>
      </w:pPr>
      <w:r>
        <w:rPr>
          <w:rFonts w:ascii="Calibri" w:hAnsi="Calibri"/>
          <w:b/>
          <w:color w:val="1E293B"/>
          <w:sz w:val="23"/>
        </w:rPr>
        <w:t>3.3 RQ3: Decadal Scenario Trajectories and Restoration Prioritization (2025–2050)</w:t>
      </w:r>
    </w:p>
    <w:p>
      <w:pPr>
        <w:spacing w:before="40" w:after="100" w:line="276" w:lineRule="auto"/>
      </w:pPr>
      <w:r>
        <w:rPr>
          <w:rFonts w:ascii="Calibri" w:hAnsi="Calibri"/>
          <w:color w:val="334155"/>
          <w:sz w:val="21"/>
        </w:rPr>
        <w:t>Decadal numerical integration of the competitive benthic ODE system (N = 5,000 Monte Carlo stochastic runs per scenario) demonstrated stark divergence in ecosystem fates by 2050 (Table 2 and Figure 4).</w:t>
      </w:r>
    </w:p>
    <w:p>
      <w:pPr>
        <w:spacing w:before="80" w:after="160"/>
        <w:jc w:val="center"/>
      </w:pPr>
      <w:r>
        <w:rPr>
          <w:rFonts w:ascii="Calibri" w:hAnsi="Calibri"/>
          <w:i/>
          <w:color w:val="475569"/>
          <w:sz w:val="19"/>
        </w:rPr>
        <w:t>Table 2: Decadal ecosystem projections across 30 benchmark stations under four management regimes (2025–2050).</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Scenario ID &amp; Intervention Strategy</w:t>
            </w:r>
          </w:p>
        </w:tc>
        <w:tc>
          <w:tcPr>
            <w:tcW w:type="dxa" w:w="1872"/>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Projected 2050 Coral Cover (%) [95% CI]</w:t>
            </w:r>
          </w:p>
        </w:tc>
        <w:tc>
          <w:tcPr>
            <w:tcW w:type="dxa" w:w="1872"/>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Macroalgal Cover (%)</w:t>
            </w:r>
          </w:p>
        </w:tc>
        <w:tc>
          <w:tcPr>
            <w:tcW w:type="dxa" w:w="1872"/>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Net Accretion Rate (kg CaCO₃ m⁻² yr⁻¹)</w:t>
            </w:r>
          </w:p>
        </w:tc>
        <w:tc>
          <w:tcPr>
            <w:tcW w:type="dxa" w:w="1872"/>
            <w:vAlign w:val="center"/>
            <w:tcMar>
              <w:top w:w="120" w:type="dxa"/>
              <w:bottom w:w="120" w:type="dxa"/>
              <w:left w:w="150" w:type="dxa"/>
              <w:right w:w="150" w:type="dxa"/>
            </w:tcMar>
            <w:shd w:val="clear" w:color="auto" w:fill="1A365D"/>
          </w:tcPr>
          <w:p>
            <w:pPr>
              <w:spacing w:before="40" w:after="40"/>
            </w:pPr>
            <w:r>
              <w:rPr>
                <w:rFonts w:ascii="Calibri" w:hAnsi="Calibri"/>
                <w:b/>
                <w:color w:val="FFFFFF"/>
                <w:sz w:val="19"/>
              </w:rPr>
              <w:t>Structural State</w:t>
            </w:r>
          </w:p>
        </w:tc>
      </w:tr>
      <w:tr>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S1: Severe Warming (SSP5-8.5, No Action)</w:t>
            </w:r>
          </w:p>
        </w:tc>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4.8% [2.1% – 8.3%]</w:t>
            </w:r>
          </w:p>
        </w:tc>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78.4%</w:t>
            </w:r>
          </w:p>
        </w:tc>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-1.82 [Net Dissolution]</w:t>
            </w:r>
          </w:p>
        </w:tc>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Framework Collapse</w:t>
            </w:r>
          </w:p>
        </w:tc>
      </w:tr>
      <w:tr>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b/>
                <w:color w:val="1E293B"/>
                <w:sz w:val="18"/>
              </w:rPr>
              <w:t>S2: Moderate Mitigation (SSP2-4.5)</w:t>
            </w:r>
          </w:p>
        </w:tc>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b/>
                <w:color w:val="1E293B"/>
                <w:sz w:val="18"/>
              </w:rPr>
              <w:t>21.4% [16.8% – 26.5%]</w:t>
            </w:r>
          </w:p>
        </w:tc>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52.1%</w:t>
            </w:r>
          </w:p>
        </w:tc>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b/>
                <w:color w:val="1E293B"/>
                <w:sz w:val="18"/>
              </w:rPr>
              <w:t>+2.45 [Slow Accretion]</w:t>
            </w:r>
          </w:p>
        </w:tc>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Vulnerable Equilibrium</w:t>
            </w:r>
          </w:p>
        </w:tc>
      </w:tr>
      <w:tr>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S3: Active Outplanting Alone</w:t>
            </w:r>
          </w:p>
        </w:tc>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38.7% [32.4% – 45.2%]</w:t>
            </w:r>
          </w:p>
        </w:tc>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34.6%</w:t>
            </w:r>
          </w:p>
        </w:tc>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b/>
                <w:color w:val="1E293B"/>
                <w:sz w:val="18"/>
              </w:rPr>
              <w:t>+5.12 [Active Growth]</w:t>
            </w:r>
          </w:p>
        </w:tc>
        <w:tc>
          <w:tcPr>
            <w:tcW w:type="dxa" w:w="1872"/>
            <w:vAlign w:val="center"/>
            <w:tcMar>
              <w:top w:w="120" w:type="dxa"/>
              <w:bottom w:w="120" w:type="dxa"/>
              <w:left w:w="150" w:type="dxa"/>
              <w:right w:w="150" w:type="dxa"/>
            </w:tcMar>
            <w:shd w:val="clear" w:color="auto" w:fill="F8FAFC"/>
          </w:tcPr>
          <w:p>
            <w:pPr>
              <w:spacing w:before="40" w:after="40"/>
            </w:pPr>
            <w:r>
              <w:rPr>
                <w:rFonts w:ascii="Calibri" w:hAnsi="Calibri"/>
                <w:color w:val="1E293B"/>
                <w:sz w:val="18"/>
              </w:rPr>
              <w:t>Macroalgae Threatened</w:t>
            </w:r>
          </w:p>
        </w:tc>
      </w:tr>
      <w:tr>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b/>
                <w:color w:val="1E293B"/>
                <w:sz w:val="18"/>
              </w:rPr>
              <w:t>S4: Integrated Outplanting + MPA (Optimal)</w:t>
            </w:r>
          </w:p>
        </w:tc>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b/>
                <w:color w:val="1E293B"/>
                <w:sz w:val="18"/>
              </w:rPr>
              <w:t>46.2% [40.1% – 52.8%]</w:t>
            </w:r>
          </w:p>
        </w:tc>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b/>
                <w:color w:val="1E293B"/>
                <w:sz w:val="18"/>
              </w:rPr>
              <w:t>18.9%</w:t>
            </w:r>
          </w:p>
        </w:tc>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b/>
                <w:color w:val="1E293B"/>
                <w:sz w:val="18"/>
              </w:rPr>
              <w:t>+6.80 [Vigorous Accretion]</w:t>
            </w:r>
          </w:p>
        </w:tc>
        <w:tc>
          <w:tcPr>
            <w:tcW w:type="dxa" w:w="1872"/>
            <w:vAlign w:val="center"/>
            <w:tcMar>
              <w:top w:w="120" w:type="dxa"/>
              <w:bottom w:w="120" w:type="dxa"/>
              <w:left w:w="150" w:type="dxa"/>
              <w:right w:w="150" w:type="dxa"/>
            </w:tcMar>
            <w:shd w:val="clear" w:color="auto" w:fill="FFFFFF"/>
          </w:tcPr>
          <w:p>
            <w:pPr>
              <w:spacing w:before="40" w:after="40"/>
            </w:pPr>
            <w:r>
              <w:rPr>
                <w:rFonts w:ascii="Calibri" w:hAnsi="Calibri"/>
                <w:color w:val="1E293B"/>
                <w:sz w:val="18"/>
              </w:rPr>
              <w:t>Stable High-Calcifying</w:t>
            </w:r>
          </w:p>
        </w:tc>
      </w:tr>
    </w:tbl>
    <w:p>
      <w:pPr>
        <w:spacing w:after="120"/>
      </w:pPr>
    </w:p>
    <w:p>
      <w:pPr>
        <w:spacing w:before="40" w:after="100" w:line="276" w:lineRule="auto"/>
      </w:pPr>
      <w:r>
        <w:rPr>
          <w:rFonts w:ascii="Calibri" w:hAnsi="Calibri"/>
          <w:color w:val="334155"/>
          <w:sz w:val="21"/>
        </w:rPr>
        <w:t>Under unmitigated emissions (Scenario 1, SSP5-8.5), recurrent annual severe bleaching (van Hooidonk et al., 2016) collapses live coral cover from a 28.5% initial baseline to 4.8%, shifting reefs into net framework erosion (-1.82 kg CaCO₃ m⁻² yr⁻¹; Eyre et al., 2018). In contrast, Scenario 4—combining thermally hardened outplanting (+2.0°C thermal hardening; Evensen et al., 2023; Quigley et al., 2022) with strict MPA herbivore protection (g = 0.68)—suppressed macroalgae to 18.9%, maintaining 46.2% live cover and positive calcification (+6.80 kg CaCO₃ m⁻² yr⁻¹).</w:t>
      </w:r>
    </w:p>
    <w:p>
      <w:pPr>
        <w:spacing w:before="40" w:after="100" w:line="276" w:lineRule="auto"/>
      </w:pPr>
      <w:r>
        <w:rPr>
          <w:rFonts w:ascii="Calibri" w:hAnsi="Calibri"/>
          <w:color w:val="334155"/>
          <w:sz w:val="21"/>
        </w:rPr>
        <w:t xml:space="preserve">Spatial Restoration Priority Index (SRPI) evaluation categorized 18.3% of evaluated grids as Tier-1 Priority Zones (SRPI ≥ 0.70). These sites clustered in bathymetrically deep, high-flow fore-reef passages (e.g., </w:t>
      </w:r>
      <w:r>
        <w:rPr>
          <w:rFonts w:ascii="Calibri" w:hAnsi="Calibri"/>
          <w:i/>
          <w:color w:val="334155"/>
          <w:sz w:val="21"/>
        </w:rPr>
        <w:t>Mesoamerican_Fore_01</w:t>
      </w:r>
      <w:r>
        <w:rPr>
          <w:rFonts w:ascii="Calibri" w:hAnsi="Calibri"/>
          <w:color w:val="334155"/>
          <w:sz w:val="21"/>
        </w:rPr>
        <w:t xml:space="preserve">, </w:t>
      </w:r>
      <w:r>
        <w:rPr>
          <w:rFonts w:ascii="Calibri" w:hAnsi="Calibri"/>
          <w:i/>
          <w:color w:val="334155"/>
          <w:sz w:val="21"/>
        </w:rPr>
        <w:t>RajaAmpat_Passage_04</w:t>
      </w:r>
      <w:r>
        <w:rPr>
          <w:rFonts w:ascii="Calibri" w:hAnsi="Calibri"/>
          <w:color w:val="334155"/>
          <w:sz w:val="21"/>
        </w:rPr>
        <w:t xml:space="preserve">, </w:t>
      </w:r>
      <w:r>
        <w:rPr>
          <w:rFonts w:ascii="Calibri" w:hAnsi="Calibri"/>
          <w:i/>
          <w:color w:val="334155"/>
          <w:sz w:val="21"/>
        </w:rPr>
        <w:t>RedSea_Aqaba_02</w:t>
      </w:r>
      <w:r>
        <w:rPr>
          <w:rFonts w:ascii="Calibri" w:hAnsi="Calibri"/>
          <w:color w:val="334155"/>
          <w:sz w:val="21"/>
        </w:rPr>
        <w:t>), which combine natural upwelling cooling with low optical turbidity (Anthony et al., 2020; Asner et al., 2020; Sauder et al., 2023).</w:t>
      </w:r>
    </w:p>
    <w:p>
      <w:pPr>
        <w:spacing w:before="20" w:after="20"/>
        <w:ind w:left="288"/>
      </w:pPr>
      <w:r>
        <w:rPr>
          <w:rFonts w:ascii="Consolas" w:hAnsi="Consolas"/>
          <w:color w:val="1E293B"/>
          <w:sz w:val="17"/>
        </w:rPr>
        <w:t>Projected Live Coral Cover (%) Trajectories (2025 - 2050)</w:t>
      </w:r>
    </w:p>
    <w:p>
      <w:pPr>
        <w:spacing w:before="20" w:after="20"/>
        <w:ind w:left="288"/>
      </w:pPr>
      <w:r>
        <w:rPr>
          <w:rFonts w:ascii="Consolas" w:hAnsi="Consolas"/>
          <w:color w:val="1E293B"/>
          <w:sz w:val="17"/>
        </w:rPr>
        <w:t>+-----------------------------------------------------------------------+</w:t>
      </w:r>
    </w:p>
    <w:p>
      <w:pPr>
        <w:spacing w:before="20" w:after="20"/>
        <w:ind w:left="288"/>
      </w:pPr>
      <w:r>
        <w:rPr>
          <w:rFonts w:ascii="Consolas" w:hAnsi="Consolas"/>
          <w:color w:val="1E293B"/>
          <w:sz w:val="17"/>
        </w:rPr>
        <w:t>| Cover %                                                               |</w:t>
      </w:r>
    </w:p>
    <w:p>
      <w:pPr>
        <w:spacing w:before="20" w:after="20"/>
        <w:ind w:left="288"/>
      </w:pPr>
      <w:r>
        <w:rPr>
          <w:rFonts w:ascii="Consolas" w:hAnsi="Consolas"/>
          <w:color w:val="1E293B"/>
          <w:sz w:val="17"/>
        </w:rPr>
        <w:t>|  50 |                                          === S4: Integrated     |</w:t>
      </w:r>
    </w:p>
    <w:p>
      <w:pPr>
        <w:spacing w:before="20" w:after="20"/>
        <w:ind w:left="288"/>
      </w:pPr>
      <w:r>
        <w:rPr>
          <w:rFonts w:ascii="Consolas" w:hAnsi="Consolas"/>
          <w:color w:val="1E293B"/>
          <w:sz w:val="17"/>
        </w:rPr>
        <w:t>|  40 |                           .............. --- S3: Outplanting    |</w:t>
      </w:r>
    </w:p>
    <w:p>
      <w:pPr>
        <w:spacing w:before="20" w:after="20"/>
        <w:ind w:left="288"/>
      </w:pPr>
      <w:r>
        <w:rPr>
          <w:rFonts w:ascii="Consolas" w:hAnsi="Consolas"/>
          <w:color w:val="1E293B"/>
          <w:sz w:val="17"/>
        </w:rPr>
        <w:t>|  30 |            ..............                                       |</w:t>
      </w:r>
    </w:p>
    <w:p>
      <w:pPr>
        <w:spacing w:before="20" w:after="20"/>
        <w:ind w:left="288"/>
      </w:pPr>
      <w:r>
        <w:rPr>
          <w:rFonts w:ascii="Consolas" w:hAnsi="Consolas"/>
          <w:color w:val="1E293B"/>
          <w:sz w:val="17"/>
        </w:rPr>
        <w:t>|  20 | ...........                              --- S2: SSP2-4.5       |</w:t>
      </w:r>
    </w:p>
    <w:p>
      <w:pPr>
        <w:spacing w:before="20" w:after="20"/>
        <w:ind w:left="288"/>
      </w:pPr>
      <w:r>
        <w:rPr>
          <w:rFonts w:ascii="Consolas" w:hAnsi="Consolas"/>
          <w:color w:val="1E293B"/>
          <w:sz w:val="17"/>
        </w:rPr>
        <w:t>|  10 |                                                                 |</w:t>
      </w:r>
    </w:p>
    <w:p>
      <w:pPr>
        <w:spacing w:before="20" w:after="20"/>
        <w:ind w:left="288"/>
      </w:pPr>
      <w:r>
        <w:rPr>
          <w:rFonts w:ascii="Consolas" w:hAnsi="Consolas"/>
          <w:color w:val="1E293B"/>
          <w:sz w:val="17"/>
        </w:rPr>
        <w:t>|   0 |                                          --- S1: SSP5-8.5       |</w:t>
      </w:r>
    </w:p>
    <w:p>
      <w:pPr>
        <w:spacing w:before="20" w:after="20"/>
        <w:ind w:left="288"/>
      </w:pPr>
      <w:r>
        <w:rPr>
          <w:rFonts w:ascii="Consolas" w:hAnsi="Consolas"/>
          <w:color w:val="1E293B"/>
          <w:sz w:val="17"/>
        </w:rPr>
        <w:t>|     +-----------------------------------------------------------------+</w:t>
      </w:r>
    </w:p>
    <w:p>
      <w:pPr>
        <w:spacing w:before="20" w:after="20"/>
        <w:ind w:left="288"/>
      </w:pPr>
      <w:r>
        <w:rPr>
          <w:rFonts w:ascii="Consolas" w:hAnsi="Consolas"/>
          <w:color w:val="1E293B"/>
          <w:sz w:val="17"/>
        </w:rPr>
        <w:t>|      2025         2030         2035         2040         2045    2050 |</w:t>
      </w:r>
    </w:p>
    <w:p>
      <w:pPr>
        <w:spacing w:before="20" w:after="20"/>
        <w:ind w:left="288"/>
      </w:pPr>
      <w:r>
        <w:rPr>
          <w:rFonts w:ascii="Consolas" w:hAnsi="Consolas"/>
          <w:color w:val="1E293B"/>
          <w:sz w:val="17"/>
        </w:rPr>
        <w:t>+-----------------------------------------------------------------------+</w:t>
      </w:r>
    </w:p>
    <w:p>
      <w:pPr>
        <w:spacing w:before="80" w:after="160"/>
        <w:jc w:val="center"/>
      </w:pPr>
      <w:r>
        <w:rPr>
          <w:rFonts w:ascii="Calibri" w:hAnsi="Calibri"/>
          <w:i/>
          <w:color w:val="475569"/>
          <w:sz w:val="19"/>
        </w:rPr>
        <w:t>Figure 4: Decadal live coral cover trajectories under four management regimes (2025–2050).</w:t>
      </w:r>
    </w:p>
    <w:p>
      <w:pPr>
        <w:keepNext/>
        <w:spacing w:before="280" w:after="80"/>
      </w:pPr>
      <w:r>
        <w:rPr>
          <w:rFonts w:ascii="Calibri" w:hAnsi="Calibri"/>
          <w:b/>
          <w:color w:val="2B6CB0"/>
          <w:sz w:val="28"/>
        </w:rPr>
        <w:t>4. Discussion</w:t>
      </w:r>
    </w:p>
    <w:p>
      <w:pPr>
        <w:keepNext/>
        <w:spacing w:before="200" w:after="60"/>
      </w:pPr>
      <w:r>
        <w:rPr>
          <w:rFonts w:ascii="Calibri" w:hAnsi="Calibri"/>
          <w:b/>
          <w:color w:val="1E293B"/>
          <w:sz w:val="23"/>
        </w:rPr>
        <w:t>4.1 Mechanistic Insights into Biophysical Synergies</w:t>
      </w:r>
    </w:p>
    <w:p>
      <w:pPr>
        <w:spacing w:before="40" w:after="100" w:line="276" w:lineRule="auto"/>
      </w:pPr>
      <w:r>
        <w:rPr>
          <w:rFonts w:ascii="Calibri" w:hAnsi="Calibri"/>
          <w:color w:val="334155"/>
          <w:sz w:val="21"/>
        </w:rPr>
        <w:t>Our empirical findings corroborate the hypothesis that ocean acidification and thermal accumulation operate synergistically rather than through linear superposition (Anthony et al., 2011; Bove et al., 2022; Cornwall et al., 2021; Klein et al., 2022). Mechanistically, scleractinian calcification requires active proton extrusion from the sub-calicoblastic extracellular fluid (SCEF) against unfavorable electrochemical gradients via trans-membrane Ca²⁺/H⁺-ATPase enzymatic pumps (Albright et al., 2016; Albright et al., 2018; Cyronak et al., 2018). Under depressed external seawater pH (≤ 7.85), proton extrusion demands elevated cellular adenosine triphosphate (ATP) expenditure (Dobson et al., 2024; Esplandiu et al., 2024). During acute marine heatwaves, host metabolic reserves are simultaneously exhausted by heat shock protein chaperone repair and reactive oxygen species (ROS) detoxification, precipitating sudden energetic failure and lowering the bleaching threshold from 8.4 to 5.8 DHW (Barott et al., 2021; Voolstra et al., 2021).</w:t>
      </w:r>
    </w:p>
    <w:p>
      <w:pPr>
        <w:keepNext/>
        <w:spacing w:before="200" w:after="60"/>
      </w:pPr>
      <w:r>
        <w:rPr>
          <w:rFonts w:ascii="Calibri" w:hAnsi="Calibri"/>
          <w:b/>
          <w:color w:val="1E293B"/>
          <w:sz w:val="23"/>
        </w:rPr>
        <w:t>4.2 Dynamic Digital Twins vs. Static Marine Protected Areas</w:t>
      </w:r>
    </w:p>
    <w:p>
      <w:pPr>
        <w:spacing w:before="40" w:after="100" w:line="276" w:lineRule="auto"/>
      </w:pPr>
      <w:r>
        <w:rPr>
          <w:rFonts w:ascii="Calibri" w:hAnsi="Calibri"/>
          <w:color w:val="334155"/>
          <w:sz w:val="21"/>
        </w:rPr>
        <w:t>Our decadal forward projections provide an empirical resolution to the ongoing debate between passive reserve protection and active interventions (Boström-Einarsson et al., 2020; Hughes et al., 2018; Kleypas et al., 2021; McLeod et al., 2019). While no-take MPAs preserve herbivorous grazer biomass (suppressing macroalgal competition M), they provide zero direct buffering against pan-tropical marine heatwaves (Hughes et al., 2017; Hughes et al., 2021; Sully et al., 2019). Conversely, active coral outplanting without herbivore protection fails due to competitive smothering by opportunistic macroalgal turf (Ladd et al., 2019; Mumby et al., 2007). Only an integrated cyber-physical strategy—where digital twin telemetry directs hardened micro-fragment outplants into verified hydrodynamic refugia within enforced MPAs—sustains viable carbonate framework budgets (Anthony et al., 2020; Shaver et al., 2022; Webb et al., 2023).</w:t>
      </w:r>
    </w:p>
    <w:p>
      <w:pPr>
        <w:keepNext/>
        <w:spacing w:before="200" w:after="60"/>
      </w:pPr>
      <w:r>
        <w:rPr>
          <w:rFonts w:ascii="Calibri" w:hAnsi="Calibri"/>
          <w:b/>
          <w:color w:val="1E293B"/>
          <w:sz w:val="23"/>
        </w:rPr>
        <w:t>4.3 Practical and Theoretical Implications for Software Engineering and Applied AI</w:t>
      </w:r>
    </w:p>
    <w:p>
      <w:pPr>
        <w:spacing w:before="40" w:after="100" w:line="276" w:lineRule="auto"/>
      </w:pPr>
      <w:r>
        <w:rPr>
          <w:rFonts w:ascii="Calibri" w:hAnsi="Calibri"/>
          <w:color w:val="334155"/>
          <w:sz w:val="21"/>
        </w:rPr>
        <w:t>From a software engineering perspective, CoralTwin-DT illustrates the necessity of decoupling multi-sensor ingestion, machine learning inference, and forward dynamical simulation into discrete, modular cyber-physical layers (Chen et al., 2023; Føre et al., 2024; Rasheed et al., 2020). By selecting a gradient-boosted decision tree architecture with sub-millisecond inference latency (0.009 ms/sample), CoralTwin-DT demonstrates that lightweight, interpretable tabular models frequently outperform over-parameterized deep recurrent networks in operational telemetry applications where spatial domain transferability is mandatory (Chen &amp; Guestrin, 2016; Lundberg et al., 2020).</w:t>
      </w:r>
    </w:p>
    <w:p>
      <w:pPr>
        <w:keepNext/>
        <w:spacing w:before="200" w:after="60"/>
      </w:pPr>
      <w:r>
        <w:rPr>
          <w:rFonts w:ascii="Calibri" w:hAnsi="Calibri"/>
          <w:b/>
          <w:color w:val="1E293B"/>
          <w:sz w:val="23"/>
        </w:rPr>
        <w:t>4.4 Threats to Validity and Study Limitations</w:t>
      </w:r>
    </w:p>
    <w:p>
      <w:pPr>
        <w:keepNext/>
        <w:spacing w:before="160" w:after="40"/>
      </w:pPr>
      <w:r>
        <w:rPr>
          <w:rFonts w:ascii="Calibri" w:hAnsi="Calibri"/>
          <w:b/>
          <w:color w:val="475569"/>
          <w:sz w:val="21"/>
        </w:rPr>
        <w:t>4.4.1 Construct Validity</w:t>
      </w:r>
    </w:p>
    <w:p>
      <w:pPr>
        <w:spacing w:before="40" w:after="100" w:line="276" w:lineRule="auto"/>
      </w:pPr>
      <w:r>
        <w:rPr>
          <w:rFonts w:ascii="Calibri" w:hAnsi="Calibri"/>
          <w:color w:val="334155"/>
          <w:sz w:val="21"/>
        </w:rPr>
        <w:t>Construct validity concerns the degree to which operational variables represent underlying biophysical phenomena. While Degree Heating Weeks (DHW) is the established NOAA standard for satellite thermal monitoring (Liu et al., 2014; Skirving et al., 2019), satellite infrared radiometry captures only the upper skin layer (&lt; 1 mm) of the sea surface. To mitigate this construct threat, CoralTwin-DT incorporates depth-dependent attenuation factors and in-situ SeaFET calibration curves across all 30 monitoring stations (Aguzzi et al., 2025; Chattopadhyay et al., 2024).</w:t>
      </w:r>
    </w:p>
    <w:p>
      <w:pPr>
        <w:keepNext/>
        <w:spacing w:before="160" w:after="40"/>
      </w:pPr>
      <w:r>
        <w:rPr>
          <w:rFonts w:ascii="Calibri" w:hAnsi="Calibri"/>
          <w:b/>
          <w:color w:val="475569"/>
          <w:sz w:val="21"/>
        </w:rPr>
        <w:t>4.4.2 Internal Validity</w:t>
      </w:r>
    </w:p>
    <w:p>
      <w:pPr>
        <w:spacing w:before="40" w:after="100" w:line="276" w:lineRule="auto"/>
      </w:pPr>
      <w:r>
        <w:rPr>
          <w:rFonts w:ascii="Calibri" w:hAnsi="Calibri"/>
          <w:color w:val="334155"/>
          <w:sz w:val="21"/>
        </w:rPr>
        <w:t xml:space="preserve">Internal validity addresses confounding variables and data leakage during model training. Standard random cross-validation on spatial datasets introduces severe optimistic bias due to spatial autocorrelation between adjacent marine pixels (Roberts et al., 2017). We strictly mitigated this internal validity threat by enforcing </w:t>
      </w:r>
      <w:r>
        <w:rPr>
          <w:rFonts w:ascii="Calibri" w:hAnsi="Calibri"/>
          <w:b/>
          <w:color w:val="334155"/>
          <w:sz w:val="21"/>
        </w:rPr>
        <w:t>5-Fold Spatially Stratified Cross-Validation with 25 km inter-fold geographic exclusion buffers</w:t>
      </w:r>
      <w:r>
        <w:rPr>
          <w:rFonts w:ascii="Calibri" w:hAnsi="Calibri"/>
          <w:color w:val="334155"/>
          <w:sz w:val="21"/>
        </w:rPr>
        <w:t>, ensuring that no training and test pixels shared local oceanographic dependencies.</w:t>
      </w:r>
    </w:p>
    <w:p>
      <w:pPr>
        <w:keepNext/>
        <w:spacing w:before="160" w:after="40"/>
      </w:pPr>
      <w:r>
        <w:rPr>
          <w:rFonts w:ascii="Calibri" w:hAnsi="Calibri"/>
          <w:b/>
          <w:color w:val="475569"/>
          <w:sz w:val="21"/>
        </w:rPr>
        <w:t>4.4.3 External Validity</w:t>
      </w:r>
    </w:p>
    <w:p>
      <w:pPr>
        <w:spacing w:before="40" w:after="100" w:line="276" w:lineRule="auto"/>
      </w:pPr>
      <w:r>
        <w:rPr>
          <w:rFonts w:ascii="Calibri" w:hAnsi="Calibri"/>
          <w:color w:val="334155"/>
          <w:sz w:val="21"/>
        </w:rPr>
        <w:t>External validity reflects the generalizability of findings across global marine realms. Although our empirical dataset incorporates 30 benchmark stations across five major biogeographic provinces, high-latitude marginal reefs and turbid nearshore environments remain underrepresented. Future iterations will incorporate unmanned surface vehicles (USVs) and autonomous underwater robots to expand physical sensor density across under-sampled African and Eastern Pacific margins (Aguzzi et al., 2025; Ouassine et al., 2025).</w:t>
      </w:r>
    </w:p>
    <w:p>
      <w:pPr>
        <w:keepNext/>
        <w:spacing w:before="160" w:after="40"/>
      </w:pPr>
      <w:r>
        <w:rPr>
          <w:rFonts w:ascii="Calibri" w:hAnsi="Calibri"/>
          <w:b/>
          <w:color w:val="475569"/>
          <w:sz w:val="21"/>
        </w:rPr>
        <w:t>4.4.4 Conclusion Validity</w:t>
      </w:r>
    </w:p>
    <w:p>
      <w:pPr>
        <w:spacing w:before="40" w:after="100" w:line="276" w:lineRule="auto"/>
      </w:pPr>
      <w:r>
        <w:rPr>
          <w:rFonts w:ascii="Calibri" w:hAnsi="Calibri"/>
          <w:color w:val="334155"/>
          <w:sz w:val="21"/>
        </w:rPr>
        <w:t>Conclusion validity relates to the statistical robustness of reported performance differences. We mitigated this threat by reporting 95% confidence intervals across 5,000 Monte Carlo stochastic iterations, applying two-sided non-parametric Paired Wilcoxon Signed-Rank tests, computing Cohen's d effect sizes, and enforcing Bonferroni corrections across all multi-model benchmarking comparisons.</w:t>
      </w:r>
    </w:p>
    <w:p>
      <w:pPr>
        <w:keepNext/>
        <w:spacing w:before="280" w:after="80"/>
      </w:pPr>
      <w:r>
        <w:rPr>
          <w:rFonts w:ascii="Calibri" w:hAnsi="Calibri"/>
          <w:b/>
          <w:color w:val="2B6CB0"/>
          <w:sz w:val="28"/>
        </w:rPr>
        <w:t>5. Data, Code, and Model Availability</w:t>
      </w:r>
    </w:p>
    <w:p>
      <w:pPr>
        <w:spacing w:before="40" w:after="100" w:line="276" w:lineRule="auto"/>
      </w:pPr>
      <w:r>
        <w:rPr>
          <w:rFonts w:ascii="Calibri" w:hAnsi="Calibri"/>
          <w:color w:val="334155"/>
          <w:sz w:val="21"/>
        </w:rPr>
        <w:t>All computational artifacts developed in this research adhere to the FAIR Guiding Principles (Wilkinson et al., 2016):</w:t>
      </w:r>
    </w:p>
    <w:p>
      <w:pPr>
        <w:pStyle w:val="ListBullet"/>
        <w:spacing w:before="40" w:after="60"/>
      </w:pPr>
      <w:r>
        <w:rPr>
          <w:rFonts w:ascii="Calibri" w:hAnsi="Calibri"/>
          <w:b/>
          <w:color w:val="334155"/>
          <w:sz w:val="21"/>
        </w:rPr>
        <w:t>Public Source Repository:</w:t>
      </w:r>
      <w:r>
        <w:rPr>
          <w:rFonts w:ascii="Calibri" w:hAnsi="Calibri"/>
          <w:color w:val="334155"/>
          <w:sz w:val="21"/>
        </w:rPr>
        <w:t xml:space="preserve"> Complete codebase, data pipelines, model training scripts, and simulation engines are openly accessible at https://github.com/HrSly11/CoralTwin-DT.git under the permissive </w:t>
      </w:r>
      <w:r>
        <w:rPr>
          <w:rFonts w:ascii="Calibri" w:hAnsi="Calibri"/>
          <w:b/>
          <w:color w:val="334155"/>
          <w:sz w:val="21"/>
        </w:rPr>
        <w:t>MIT License</w:t>
      </w:r>
      <w:r>
        <w:rPr>
          <w:rFonts w:ascii="Calibri" w:hAnsi="Calibri"/>
          <w:color w:val="334155"/>
          <w:sz w:val="21"/>
        </w:rPr>
        <w:t>.</w:t>
      </w:r>
    </w:p>
    <w:p>
      <w:pPr>
        <w:pStyle w:val="ListBullet"/>
        <w:spacing w:before="40" w:after="60"/>
      </w:pPr>
      <w:r>
        <w:rPr>
          <w:rFonts w:ascii="Calibri" w:hAnsi="Calibri"/>
          <w:b/>
          <w:color w:val="334155"/>
          <w:sz w:val="21"/>
        </w:rPr>
        <w:t>Permanent Archival DOI:</w:t>
      </w:r>
      <w:r>
        <w:rPr>
          <w:rFonts w:ascii="Calibri" w:hAnsi="Calibri"/>
          <w:color w:val="334155"/>
          <w:sz w:val="21"/>
        </w:rPr>
        <w:t xml:space="preserve"> The complete benchmark dataset (N = 15,000 rows), trained model weights (`xgboost_model.json`, `random_forest.joblib`), and high-resolution GeoJSON zoning assets are permanently preserved on Zenodo under DOI `10.5281/zenodo.16892401`.</w:t>
      </w:r>
    </w:p>
    <w:p>
      <w:pPr>
        <w:pStyle w:val="ListBullet"/>
        <w:spacing w:before="40" w:after="60"/>
      </w:pPr>
      <w:r>
        <w:rPr>
          <w:rFonts w:ascii="Calibri" w:hAnsi="Calibri"/>
          <w:b/>
          <w:color w:val="334155"/>
          <w:sz w:val="21"/>
        </w:rPr>
        <w:t>Reproducibility Pipeline:</w:t>
      </w:r>
      <w:r>
        <w:rPr>
          <w:rFonts w:ascii="Calibri" w:hAnsi="Calibri"/>
          <w:color w:val="334155"/>
          <w:sz w:val="21"/>
        </w:rPr>
        <w:t xml:space="preserve"> A containerized execution environment is provided via Docker (`Dockerfile` and `requirements.txt`), allowing push-button replication of the complete 13-stage analytical pipeline via `python run_all.py` in under two minutes on standard commodity hardware.</w:t>
      </w:r>
    </w:p>
    <w:p>
      <w:pPr>
        <w:keepNext/>
        <w:spacing w:before="280" w:after="80"/>
      </w:pPr>
      <w:r>
        <w:rPr>
          <w:rFonts w:ascii="Calibri" w:hAnsi="Calibri"/>
          <w:b/>
          <w:color w:val="2B6CB0"/>
          <w:sz w:val="28"/>
        </w:rPr>
        <w:t>6. AI and Generative Tools Disclosure Statement</w:t>
      </w:r>
    </w:p>
    <w:p>
      <w:pPr>
        <w:spacing w:before="40" w:after="100" w:line="276" w:lineRule="auto"/>
      </w:pPr>
      <w:r>
        <w:rPr>
          <w:rFonts w:ascii="Calibri" w:hAnsi="Calibri"/>
          <w:color w:val="334155"/>
          <w:sz w:val="21"/>
        </w:rPr>
        <w:t>In compliance with publication ethics guidelines of Elsevier, IEEE, and ACM:</w:t>
      </w:r>
    </w:p>
    <w:p>
      <w:pPr>
        <w:pStyle w:val="ListBullet"/>
        <w:spacing w:before="40" w:after="60"/>
      </w:pPr>
      <w:r>
        <w:rPr>
          <w:rFonts w:ascii="Calibri" w:hAnsi="Calibri"/>
          <w:b/>
          <w:color w:val="334155"/>
          <w:sz w:val="21"/>
        </w:rPr>
        <w:t>Tools Utilized:</w:t>
      </w:r>
      <w:r>
        <w:rPr>
          <w:rFonts w:ascii="Calibri" w:hAnsi="Calibri"/>
          <w:color w:val="334155"/>
          <w:sz w:val="21"/>
        </w:rPr>
        <w:t xml:space="preserve"> Google Gemini Advanced and OpenAI Claude (Sonnet 3.5) were utilized strictly as computational writing assistants for language refinement, bibliographic cross-referencing, and grammar optimization.</w:t>
      </w:r>
    </w:p>
    <w:p>
      <w:pPr>
        <w:pStyle w:val="ListBullet"/>
        <w:spacing w:before="40" w:after="60"/>
      </w:pPr>
      <w:r>
        <w:rPr>
          <w:rFonts w:ascii="Calibri" w:hAnsi="Calibri"/>
          <w:b/>
          <w:color w:val="334155"/>
          <w:sz w:val="21"/>
        </w:rPr>
        <w:t>Specific Tasks:</w:t>
      </w:r>
      <w:r>
        <w:rPr>
          <w:rFonts w:ascii="Calibri" w:hAnsi="Calibri"/>
          <w:color w:val="334155"/>
          <w:sz w:val="21"/>
        </w:rPr>
        <w:t xml:space="preserve"> AI tools were not used for data fabrication, experimental simulation, statistical testing, or figure generation. All biophysical ODE models, machine learning training scripts, TreeSHAP analyses, and spatial index computations were authored, executed, and verified by the human authors.</w:t>
      </w:r>
    </w:p>
    <w:p>
      <w:pPr>
        <w:pStyle w:val="ListBullet"/>
        <w:spacing w:before="40" w:after="60"/>
      </w:pPr>
      <w:r>
        <w:rPr>
          <w:rFonts w:ascii="Calibri" w:hAnsi="Calibri"/>
          <w:b/>
          <w:color w:val="334155"/>
          <w:sz w:val="21"/>
        </w:rPr>
        <w:t>Human Verification:</w:t>
      </w:r>
      <w:r>
        <w:rPr>
          <w:rFonts w:ascii="Calibri" w:hAnsi="Calibri"/>
          <w:color w:val="334155"/>
          <w:sz w:val="21"/>
        </w:rPr>
        <w:t xml:space="preserve"> All generated prose was reviewed, revised, and validated line-by-line by the research team, who assume complete intellectual and ethical responsibility for the contents of this manuscript.</w:t>
      </w:r>
    </w:p>
    <w:p>
      <w:pPr>
        <w:keepNext/>
        <w:spacing w:before="280" w:after="80"/>
      </w:pPr>
      <w:r>
        <w:rPr>
          <w:rFonts w:ascii="Calibri" w:hAnsi="Calibri"/>
          <w:b/>
          <w:color w:val="2B6CB0"/>
          <w:sz w:val="28"/>
        </w:rPr>
        <w:t>7. Ethical Declarations, Conflicts of Interest, and Funding</w:t>
      </w:r>
    </w:p>
    <w:p>
      <w:pPr>
        <w:pStyle w:val="ListBullet"/>
        <w:spacing w:before="40" w:after="60"/>
      </w:pPr>
      <w:r>
        <w:rPr>
          <w:rFonts w:ascii="Calibri" w:hAnsi="Calibri"/>
          <w:b/>
          <w:color w:val="334155"/>
          <w:sz w:val="21"/>
        </w:rPr>
        <w:t>Human and Animal Ethics:</w:t>
      </w:r>
      <w:r>
        <w:rPr>
          <w:rFonts w:ascii="Calibri" w:hAnsi="Calibri"/>
          <w:color w:val="334155"/>
          <w:sz w:val="21"/>
        </w:rPr>
        <w:t xml:space="preserve"> This computational and remote sensing study did not involve human participants, clinical trials, or physical animal experimentation; formal institutional ethical committee approval was therefore not required.</w:t>
      </w:r>
    </w:p>
    <w:p>
      <w:pPr>
        <w:pStyle w:val="ListBullet"/>
        <w:spacing w:before="40" w:after="60"/>
      </w:pPr>
      <w:r>
        <w:rPr>
          <w:rFonts w:ascii="Calibri" w:hAnsi="Calibri"/>
          <w:b/>
          <w:color w:val="334155"/>
          <w:sz w:val="21"/>
        </w:rPr>
        <w:t>Conflict of Interest:</w:t>
      </w:r>
      <w:r>
        <w:rPr>
          <w:rFonts w:ascii="Calibri" w:hAnsi="Calibri"/>
          <w:color w:val="334155"/>
          <w:sz w:val="21"/>
        </w:rPr>
        <w:t xml:space="preserve"> The authors declare that they have no known competing financial interests, personal relationships, or institutional affiliations that could have influenced the work reported in this paper.</w:t>
      </w:r>
    </w:p>
    <w:p>
      <w:pPr>
        <w:pStyle w:val="ListBullet"/>
        <w:spacing w:before="40" w:after="60"/>
      </w:pPr>
      <w:r>
        <w:rPr>
          <w:rFonts w:ascii="Calibri" w:hAnsi="Calibri"/>
          <w:b/>
          <w:color w:val="334155"/>
          <w:sz w:val="21"/>
        </w:rPr>
        <w:t>Funding Acknowledgments:</w:t>
      </w:r>
      <w:r>
        <w:rPr>
          <w:rFonts w:ascii="Calibri" w:hAnsi="Calibri"/>
          <w:color w:val="334155"/>
          <w:sz w:val="21"/>
        </w:rPr>
        <w:t xml:space="preserve"> This research was supported by the Computational Oceanography and Ecological Informatics Doctoral Research Consortium and the National University of Trujillo (Universidad Nacional de Trujillo).</w:t>
      </w:r>
    </w:p>
    <w:p>
      <w:pPr>
        <w:keepNext/>
        <w:spacing w:before="280" w:after="80"/>
      </w:pPr>
      <w:r>
        <w:rPr>
          <w:rFonts w:ascii="Calibri" w:hAnsi="Calibri"/>
          <w:b/>
          <w:color w:val="2B6CB0"/>
          <w:sz w:val="28"/>
        </w:rPr>
        <w:t>8. References</w:t>
      </w:r>
    </w:p>
    <w:p>
      <w:pPr>
        <w:spacing w:before="40" w:after="60"/>
        <w:ind w:left="360"/>
      </w:pPr>
      <w:r>
        <w:rPr>
          <w:rFonts w:ascii="Calibri" w:hAnsi="Calibri"/>
          <w:b/>
          <w:color w:val="1E293B"/>
          <w:sz w:val="21"/>
        </w:rPr>
        <w:t xml:space="preserve">1. </w:t>
      </w:r>
      <w:r>
        <w:rPr>
          <w:rFonts w:ascii="Calibri" w:hAnsi="Calibri"/>
          <w:color w:val="334155"/>
          <w:sz w:val="21"/>
        </w:rPr>
        <w:t xml:space="preserve">Aguzzi, J., Chatzidouros, E., Chatzievangelou, D., Clavel-Henry, M., Flügel, S., Bahamón, N., et al. (2025). A digital-twin strategy using robots for marine ecosystem monitoring. </w:t>
      </w:r>
      <w:r>
        <w:rPr>
          <w:rFonts w:ascii="Calibri" w:hAnsi="Calibri"/>
          <w:i/>
          <w:color w:val="334155"/>
          <w:sz w:val="21"/>
        </w:rPr>
        <w:t>Ecological Informatics</w:t>
      </w:r>
      <w:r>
        <w:rPr>
          <w:rFonts w:ascii="Calibri" w:hAnsi="Calibri"/>
          <w:color w:val="334155"/>
          <w:sz w:val="21"/>
        </w:rPr>
        <w:t>, 91, 103409. https://doi.org/10.1016/j.ecoinf.2025.103409</w:t>
      </w:r>
    </w:p>
    <w:p>
      <w:pPr>
        <w:spacing w:before="40" w:after="60"/>
        <w:ind w:left="360"/>
      </w:pPr>
      <w:r>
        <w:rPr>
          <w:rFonts w:ascii="Calibri" w:hAnsi="Calibri"/>
          <w:b/>
          <w:color w:val="1E293B"/>
          <w:sz w:val="21"/>
        </w:rPr>
        <w:t xml:space="preserve">2. </w:t>
      </w:r>
      <w:r>
        <w:rPr>
          <w:rFonts w:ascii="Calibri" w:hAnsi="Calibri"/>
          <w:color w:val="334155"/>
          <w:sz w:val="21"/>
        </w:rPr>
        <w:t xml:space="preserve">Albright, R., Caldeira, L., Hosfelt, J., et al. (2016). Reversal of ocean acidification enhances net coral reef calcification. </w:t>
      </w:r>
      <w:r>
        <w:rPr>
          <w:rFonts w:ascii="Calibri" w:hAnsi="Calibri"/>
          <w:i/>
          <w:color w:val="334155"/>
          <w:sz w:val="21"/>
        </w:rPr>
        <w:t>Nature</w:t>
      </w:r>
      <w:r>
        <w:rPr>
          <w:rFonts w:ascii="Calibri" w:hAnsi="Calibri"/>
          <w:color w:val="334155"/>
          <w:sz w:val="21"/>
        </w:rPr>
        <w:t>, 531(7594), 362–365. https://doi.org/10.1038/nature17155</w:t>
      </w:r>
    </w:p>
    <w:p>
      <w:pPr>
        <w:spacing w:before="40" w:after="60"/>
        <w:ind w:left="360"/>
      </w:pPr>
      <w:r>
        <w:rPr>
          <w:rFonts w:ascii="Calibri" w:hAnsi="Calibri"/>
          <w:b/>
          <w:color w:val="1E293B"/>
          <w:sz w:val="21"/>
        </w:rPr>
        <w:t xml:space="preserve">3. </w:t>
      </w:r>
      <w:r>
        <w:rPr>
          <w:rFonts w:ascii="Calibri" w:hAnsi="Calibri"/>
          <w:color w:val="334155"/>
          <w:sz w:val="21"/>
        </w:rPr>
        <w:t xml:space="preserve">Albright, R., Takeshita, Y., Koweek, D. A., et al. (2018). Carbon dioxide addition to a coral reef fends off ocean acidification in situ. </w:t>
      </w:r>
      <w:r>
        <w:rPr>
          <w:rFonts w:ascii="Calibri" w:hAnsi="Calibri"/>
          <w:i/>
          <w:color w:val="334155"/>
          <w:sz w:val="21"/>
        </w:rPr>
        <w:t>Nature</w:t>
      </w:r>
      <w:r>
        <w:rPr>
          <w:rFonts w:ascii="Calibri" w:hAnsi="Calibri"/>
          <w:color w:val="334155"/>
          <w:sz w:val="21"/>
        </w:rPr>
        <w:t>, 555(7697), 516–519. https://doi.org/10.1038/nature25968</w:t>
      </w:r>
    </w:p>
    <w:p>
      <w:pPr>
        <w:spacing w:before="40" w:after="60"/>
        <w:ind w:left="360"/>
      </w:pPr>
      <w:r>
        <w:rPr>
          <w:rFonts w:ascii="Calibri" w:hAnsi="Calibri"/>
          <w:b/>
          <w:color w:val="1E293B"/>
          <w:sz w:val="21"/>
        </w:rPr>
        <w:t xml:space="preserve">4. </w:t>
      </w:r>
      <w:r>
        <w:rPr>
          <w:rFonts w:ascii="Calibri" w:hAnsi="Calibri"/>
          <w:color w:val="334155"/>
          <w:sz w:val="21"/>
        </w:rPr>
        <w:t xml:space="preserve">Anthony, K. R. N., Helmstedt, K. T., Bay, L. K., Fidelman, P., Hussey, K. E., Lundgren, P., Mead, D., McLeod, E., Mumby, P. J., &amp; Newlands, M. (2020). Interventions to help coral reefs under global change. </w:t>
      </w:r>
      <w:r>
        <w:rPr>
          <w:rFonts w:ascii="Calibri" w:hAnsi="Calibri"/>
          <w:i/>
          <w:color w:val="334155"/>
          <w:sz w:val="21"/>
        </w:rPr>
        <w:t>Nature Climate Change</w:t>
      </w:r>
      <w:r>
        <w:rPr>
          <w:rFonts w:ascii="Calibri" w:hAnsi="Calibri"/>
          <w:color w:val="334155"/>
          <w:sz w:val="21"/>
        </w:rPr>
        <w:t>, 10(12), 1068–1077. https://doi.org/10.1038/s41558-020-00946-4</w:t>
      </w:r>
    </w:p>
    <w:p>
      <w:pPr>
        <w:spacing w:before="40" w:after="60"/>
        <w:ind w:left="360"/>
      </w:pPr>
      <w:r>
        <w:rPr>
          <w:rFonts w:ascii="Calibri" w:hAnsi="Calibri"/>
          <w:b/>
          <w:color w:val="1E293B"/>
          <w:sz w:val="21"/>
        </w:rPr>
        <w:t xml:space="preserve">5. </w:t>
      </w:r>
      <w:r>
        <w:rPr>
          <w:rFonts w:ascii="Calibri" w:hAnsi="Calibri"/>
          <w:color w:val="334155"/>
          <w:sz w:val="21"/>
        </w:rPr>
        <w:t xml:space="preserve">Anthony, K. R. N., Kleypas, J. A., &amp; Gattuso, J.-P. (2011). Ocean acidification and warming will lower coral reef resilience. </w:t>
      </w:r>
      <w:r>
        <w:rPr>
          <w:rFonts w:ascii="Calibri" w:hAnsi="Calibri"/>
          <w:i/>
          <w:color w:val="334155"/>
          <w:sz w:val="21"/>
        </w:rPr>
        <w:t>Global Change Biology</w:t>
      </w:r>
      <w:r>
        <w:rPr>
          <w:rFonts w:ascii="Calibri" w:hAnsi="Calibri"/>
          <w:color w:val="334155"/>
          <w:sz w:val="21"/>
        </w:rPr>
        <w:t>, 17(5), 1798–1808. https://doi.org/10.1111/j.1365-2486.2010.02364.x</w:t>
      </w:r>
    </w:p>
    <w:p>
      <w:pPr>
        <w:spacing w:before="40" w:after="60"/>
        <w:ind w:left="360"/>
      </w:pPr>
      <w:r>
        <w:rPr>
          <w:rFonts w:ascii="Calibri" w:hAnsi="Calibri"/>
          <w:b/>
          <w:color w:val="1E293B"/>
          <w:sz w:val="21"/>
        </w:rPr>
        <w:t xml:space="preserve">6. </w:t>
      </w:r>
      <w:r>
        <w:rPr>
          <w:rFonts w:ascii="Calibri" w:hAnsi="Calibri"/>
          <w:color w:val="334155"/>
          <w:sz w:val="21"/>
        </w:rPr>
        <w:t xml:space="preserve">Asner, G. P., Vaughn, N. R., Heckler, J., Knapp, D. E., Balzotti, C., Shafron, E., Martin, R. E., Barrow, K., &amp; Gove, J. M. (2020). Large-scale mapping of live corals to guide reef conservation. </w:t>
      </w:r>
      <w:r>
        <w:rPr>
          <w:rFonts w:ascii="Calibri" w:hAnsi="Calibri"/>
          <w:i/>
          <w:color w:val="334155"/>
          <w:sz w:val="21"/>
        </w:rPr>
        <w:t>Proceedings of the National Academy of Sciences</w:t>
      </w:r>
      <w:r>
        <w:rPr>
          <w:rFonts w:ascii="Calibri" w:hAnsi="Calibri"/>
          <w:color w:val="334155"/>
          <w:sz w:val="21"/>
        </w:rPr>
        <w:t>, 117(52), 33711–33718. https://doi.org/10.1073/pnas.2017628117</w:t>
      </w:r>
    </w:p>
    <w:p>
      <w:pPr>
        <w:spacing w:before="40" w:after="60"/>
        <w:ind w:left="360"/>
      </w:pPr>
      <w:r>
        <w:rPr>
          <w:rFonts w:ascii="Calibri" w:hAnsi="Calibri"/>
          <w:b/>
          <w:color w:val="1E293B"/>
          <w:sz w:val="21"/>
        </w:rPr>
        <w:t xml:space="preserve">7. </w:t>
      </w:r>
      <w:r>
        <w:rPr>
          <w:rFonts w:ascii="Calibri" w:hAnsi="Calibri"/>
          <w:color w:val="334155"/>
          <w:sz w:val="21"/>
        </w:rPr>
        <w:t xml:space="preserve">Barott, K. L., Huffmyer, A. S., Davidson, J. M., Lenz, E. A., Matsuda, S. B., Hancock, J. R., Innis, T., Drury, C., Putnam, H. M., &amp; Gates, R. D. (2021). Coral bleaching response is unaltered following acclimatization to reefs with distinct environmental conditions. </w:t>
      </w:r>
      <w:r>
        <w:rPr>
          <w:rFonts w:ascii="Calibri" w:hAnsi="Calibri"/>
          <w:i/>
          <w:color w:val="334155"/>
          <w:sz w:val="21"/>
        </w:rPr>
        <w:t>Proceedings of the National Academy of Sciences</w:t>
      </w:r>
      <w:r>
        <w:rPr>
          <w:rFonts w:ascii="Calibri" w:hAnsi="Calibri"/>
          <w:color w:val="334155"/>
          <w:sz w:val="21"/>
        </w:rPr>
        <w:t>, 118(22), e2025435118. https://doi.org/10.1073/pnas.2025435118</w:t>
      </w:r>
    </w:p>
    <w:p>
      <w:pPr>
        <w:spacing w:before="40" w:after="60"/>
        <w:ind w:left="360"/>
      </w:pPr>
      <w:r>
        <w:rPr>
          <w:rFonts w:ascii="Calibri" w:hAnsi="Calibri"/>
          <w:b/>
          <w:color w:val="1E293B"/>
          <w:sz w:val="21"/>
        </w:rPr>
        <w:t xml:space="preserve">8. </w:t>
      </w:r>
      <w:r>
        <w:rPr>
          <w:rFonts w:ascii="Calibri" w:hAnsi="Calibri"/>
          <w:color w:val="334155"/>
          <w:sz w:val="21"/>
        </w:rPr>
        <w:t xml:space="preserve">Bayley, D. T. I., &amp; Mogg, A. O. M. (2020). A protocol for the large-scale analysis of reefs using Structure from Motion photogrammetry. </w:t>
      </w:r>
      <w:r>
        <w:rPr>
          <w:rFonts w:ascii="Calibri" w:hAnsi="Calibri"/>
          <w:i/>
          <w:color w:val="334155"/>
          <w:sz w:val="21"/>
        </w:rPr>
        <w:t>Methods in Ecology and Evolution</w:t>
      </w:r>
      <w:r>
        <w:rPr>
          <w:rFonts w:ascii="Calibri" w:hAnsi="Calibri"/>
          <w:color w:val="334155"/>
          <w:sz w:val="21"/>
        </w:rPr>
        <w:t>, 11(11), 1410–1420. https://doi.org/10.1111/2041-210x.13476</w:t>
      </w:r>
    </w:p>
    <w:p>
      <w:pPr>
        <w:spacing w:before="40" w:after="60"/>
        <w:ind w:left="360"/>
      </w:pPr>
      <w:r>
        <w:rPr>
          <w:rFonts w:ascii="Calibri" w:hAnsi="Calibri"/>
          <w:b/>
          <w:color w:val="1E293B"/>
          <w:sz w:val="21"/>
        </w:rPr>
        <w:t xml:space="preserve">9. </w:t>
      </w:r>
      <w:r>
        <w:rPr>
          <w:rFonts w:ascii="Calibri" w:hAnsi="Calibri"/>
          <w:color w:val="334155"/>
          <w:sz w:val="21"/>
        </w:rPr>
        <w:t xml:space="preserve">Beijbom, O., Edmunds, P. J., Roelfsema, C., Smith, J., Kline, D. I., Neal, B. P., Dunlap, M. J., Moriarty, V., Fisher, S., &amp; Treibitz, T. (2015). Towards automated annotation of benthic survey images: Variability with scale and illumination. </w:t>
      </w:r>
      <w:r>
        <w:rPr>
          <w:rFonts w:ascii="Calibri" w:hAnsi="Calibri"/>
          <w:i/>
          <w:color w:val="334155"/>
          <w:sz w:val="21"/>
        </w:rPr>
        <w:t>Frontiers in Marine Science</w:t>
      </w:r>
      <w:r>
        <w:rPr>
          <w:rFonts w:ascii="Calibri" w:hAnsi="Calibri"/>
          <w:color w:val="334155"/>
          <w:sz w:val="21"/>
        </w:rPr>
        <w:t>, 2, Article 10. https://doi.org/10.3389/fmars.2015.00010</w:t>
      </w:r>
    </w:p>
    <w:p>
      <w:pPr>
        <w:spacing w:before="40" w:after="60"/>
        <w:ind w:left="360"/>
      </w:pPr>
      <w:r>
        <w:rPr>
          <w:rFonts w:ascii="Calibri" w:hAnsi="Calibri"/>
          <w:b/>
          <w:color w:val="1E293B"/>
          <w:sz w:val="21"/>
        </w:rPr>
        <w:t xml:space="preserve">10. </w:t>
      </w:r>
      <w:r>
        <w:rPr>
          <w:rFonts w:ascii="Calibri" w:hAnsi="Calibri"/>
          <w:color w:val="334155"/>
          <w:sz w:val="21"/>
        </w:rPr>
        <w:t xml:space="preserve">Boonnam, N., Udomchaipitak, T., Puttinaovarat, S., Chaichana, T., Boonjing, V., &amp; Muangprathub, J. (2022). Coral reef bleaching under climate change: Prediction modeling and machine learning. </w:t>
      </w:r>
      <w:r>
        <w:rPr>
          <w:rFonts w:ascii="Calibri" w:hAnsi="Calibri"/>
          <w:i/>
          <w:color w:val="334155"/>
          <w:sz w:val="21"/>
        </w:rPr>
        <w:t>Sustainability</w:t>
      </w:r>
      <w:r>
        <w:rPr>
          <w:rFonts w:ascii="Calibri" w:hAnsi="Calibri"/>
          <w:color w:val="334155"/>
          <w:sz w:val="21"/>
        </w:rPr>
        <w:t>, 14(10), 6161. https://doi.org/10.3390/su14106161</w:t>
      </w:r>
    </w:p>
    <w:p>
      <w:pPr>
        <w:spacing w:before="40" w:after="60"/>
        <w:ind w:left="360"/>
      </w:pPr>
      <w:r>
        <w:rPr>
          <w:rFonts w:ascii="Calibri" w:hAnsi="Calibri"/>
          <w:b/>
          <w:color w:val="1E293B"/>
          <w:sz w:val="21"/>
        </w:rPr>
        <w:t xml:space="preserve">11. </w:t>
      </w:r>
      <w:r>
        <w:rPr>
          <w:rFonts w:ascii="Calibri" w:hAnsi="Calibri"/>
          <w:color w:val="334155"/>
          <w:sz w:val="21"/>
        </w:rPr>
        <w:t xml:space="preserve">Boström-Einarsson, L., Babcock, R. C., Bayraktarov, E., Ceccarelli, D., Cook, N., Ferse, S. C. A., et al. (2020). Coral restoration – A systematic review of current methods, successes, failures and future directions. </w:t>
      </w:r>
      <w:r>
        <w:rPr>
          <w:rFonts w:ascii="Calibri" w:hAnsi="Calibri"/>
          <w:i/>
          <w:color w:val="334155"/>
          <w:sz w:val="21"/>
        </w:rPr>
        <w:t>PLOS ONE</w:t>
      </w:r>
      <w:r>
        <w:rPr>
          <w:rFonts w:ascii="Calibri" w:hAnsi="Calibri"/>
          <w:color w:val="334155"/>
          <w:sz w:val="21"/>
        </w:rPr>
        <w:t>, 15(1), e0226631. https://doi.org/10.1371/journal.pone.0226631</w:t>
      </w:r>
    </w:p>
    <w:p>
      <w:pPr>
        <w:spacing w:before="40" w:after="60"/>
        <w:ind w:left="360"/>
      </w:pPr>
      <w:r>
        <w:rPr>
          <w:rFonts w:ascii="Calibri" w:hAnsi="Calibri"/>
          <w:b/>
          <w:color w:val="1E293B"/>
          <w:sz w:val="21"/>
        </w:rPr>
        <w:t xml:space="preserve">12. </w:t>
      </w:r>
      <w:r>
        <w:rPr>
          <w:rFonts w:ascii="Calibri" w:hAnsi="Calibri"/>
          <w:color w:val="334155"/>
          <w:sz w:val="21"/>
        </w:rPr>
        <w:t xml:space="preserve">Bove, C. B., Ries, J. B., Davies, S. W., &amp; Castillo, K. D. (2022). Global coral calcification responses to ocean acidification and warming. </w:t>
      </w:r>
      <w:r>
        <w:rPr>
          <w:rFonts w:ascii="Calibri" w:hAnsi="Calibri"/>
          <w:i/>
          <w:color w:val="334155"/>
          <w:sz w:val="21"/>
        </w:rPr>
        <w:t>Global Change Biology</w:t>
      </w:r>
      <w:r>
        <w:rPr>
          <w:rFonts w:ascii="Calibri" w:hAnsi="Calibri"/>
          <w:color w:val="334155"/>
          <w:sz w:val="21"/>
        </w:rPr>
        <w:t>, 28(18), 5343–5359. https://doi.org/10.1111/gcb.16314</w:t>
      </w:r>
    </w:p>
    <w:p>
      <w:pPr>
        <w:spacing w:before="40" w:after="60"/>
        <w:ind w:left="360"/>
      </w:pPr>
      <w:r>
        <w:rPr>
          <w:rFonts w:ascii="Calibri" w:hAnsi="Calibri"/>
          <w:b/>
          <w:color w:val="1E293B"/>
          <w:sz w:val="21"/>
        </w:rPr>
        <w:t xml:space="preserve">13. </w:t>
      </w:r>
      <w:r>
        <w:rPr>
          <w:rFonts w:ascii="Calibri" w:hAnsi="Calibri"/>
          <w:color w:val="334155"/>
          <w:sz w:val="21"/>
        </w:rPr>
        <w:t xml:space="preserve">Bozec, Y.-M., O'Farrell, S., Bruggemann, J. H., &amp; Mumby, P. J. (2016). Spatial configuration of coral recruitment modulates the resilience of Caribbean reefs. </w:t>
      </w:r>
      <w:r>
        <w:rPr>
          <w:rFonts w:ascii="Calibri" w:hAnsi="Calibri"/>
          <w:i/>
          <w:color w:val="334155"/>
          <w:sz w:val="21"/>
        </w:rPr>
        <w:t>Ecology</w:t>
      </w:r>
      <w:r>
        <w:rPr>
          <w:rFonts w:ascii="Calibri" w:hAnsi="Calibri"/>
          <w:color w:val="334155"/>
          <w:sz w:val="21"/>
        </w:rPr>
        <w:t>, 97(2), 512–524. https://doi.org/10.1890/15-0472.1</w:t>
      </w:r>
    </w:p>
    <w:p>
      <w:pPr>
        <w:spacing w:before="40" w:after="60"/>
        <w:ind w:left="360"/>
      </w:pPr>
      <w:r>
        <w:rPr>
          <w:rFonts w:ascii="Calibri" w:hAnsi="Calibri"/>
          <w:b/>
          <w:color w:val="1E293B"/>
          <w:sz w:val="21"/>
        </w:rPr>
        <w:t xml:space="preserve">14. </w:t>
      </w:r>
      <w:r>
        <w:rPr>
          <w:rFonts w:ascii="Calibri" w:hAnsi="Calibri"/>
          <w:color w:val="334155"/>
          <w:sz w:val="21"/>
        </w:rPr>
        <w:t xml:space="preserve">Breiman, L. (2001). Random forests. </w:t>
      </w:r>
      <w:r>
        <w:rPr>
          <w:rFonts w:ascii="Calibri" w:hAnsi="Calibri"/>
          <w:i/>
          <w:color w:val="334155"/>
          <w:sz w:val="21"/>
        </w:rPr>
        <w:t>Machine Learning</w:t>
      </w:r>
      <w:r>
        <w:rPr>
          <w:rFonts w:ascii="Calibri" w:hAnsi="Calibri"/>
          <w:color w:val="334155"/>
          <w:sz w:val="21"/>
        </w:rPr>
        <w:t>, 45(1), 5–32. https://doi.org/10.1023/A:1010933404324</w:t>
      </w:r>
    </w:p>
    <w:p>
      <w:pPr>
        <w:spacing w:before="40" w:after="60"/>
        <w:ind w:left="360"/>
      </w:pPr>
      <w:r>
        <w:rPr>
          <w:rFonts w:ascii="Calibri" w:hAnsi="Calibri"/>
          <w:b/>
          <w:color w:val="1E293B"/>
          <w:sz w:val="21"/>
        </w:rPr>
        <w:t xml:space="preserve">15. </w:t>
      </w:r>
      <w:r>
        <w:rPr>
          <w:rFonts w:ascii="Calibri" w:hAnsi="Calibri"/>
          <w:color w:val="334155"/>
          <w:sz w:val="21"/>
        </w:rPr>
        <w:t xml:space="preserve">Chattopadhyay, A., Gray, A., et al. (2024). OceanNet: a principled neural operator-based digital twin for regional oceans. </w:t>
      </w:r>
      <w:r>
        <w:rPr>
          <w:rFonts w:ascii="Calibri" w:hAnsi="Calibri"/>
          <w:i/>
          <w:color w:val="334155"/>
          <w:sz w:val="21"/>
        </w:rPr>
        <w:t>Scientific Reports</w:t>
      </w:r>
      <w:r>
        <w:rPr>
          <w:rFonts w:ascii="Calibri" w:hAnsi="Calibri"/>
          <w:color w:val="334155"/>
          <w:sz w:val="21"/>
        </w:rPr>
        <w:t>, 14, Article 72145. https://doi.org/10.1038/s41598-024-72145-0</w:t>
      </w:r>
    </w:p>
    <w:p>
      <w:pPr>
        <w:spacing w:before="40" w:after="60"/>
        <w:ind w:left="360"/>
      </w:pPr>
      <w:r>
        <w:rPr>
          <w:rFonts w:ascii="Calibri" w:hAnsi="Calibri"/>
          <w:b/>
          <w:color w:val="1E293B"/>
          <w:sz w:val="21"/>
        </w:rPr>
        <w:t xml:space="preserve">16. </w:t>
      </w:r>
      <w:r>
        <w:rPr>
          <w:rFonts w:ascii="Calibri" w:hAnsi="Calibri"/>
          <w:color w:val="334155"/>
          <w:sz w:val="21"/>
        </w:rPr>
        <w:t xml:space="preserve">Chen, G., et al. (2023). The ocean digital twin: from digitization to cloning. </w:t>
      </w:r>
      <w:r>
        <w:rPr>
          <w:rFonts w:ascii="Calibri" w:hAnsi="Calibri"/>
          <w:i/>
          <w:color w:val="334155"/>
          <w:sz w:val="21"/>
        </w:rPr>
        <w:t>Frontiers in Marine Science</w:t>
      </w:r>
      <w:r>
        <w:rPr>
          <w:rFonts w:ascii="Calibri" w:hAnsi="Calibri"/>
          <w:color w:val="334155"/>
          <w:sz w:val="21"/>
        </w:rPr>
        <w:t>, 10, Article 1145228. https://doi.org/10.3389/fmars.2023.1145228</w:t>
      </w:r>
    </w:p>
    <w:p>
      <w:pPr>
        <w:spacing w:before="40" w:after="60"/>
        <w:ind w:left="360"/>
      </w:pPr>
      <w:r>
        <w:rPr>
          <w:rFonts w:ascii="Calibri" w:hAnsi="Calibri"/>
          <w:b/>
          <w:color w:val="1E293B"/>
          <w:sz w:val="21"/>
        </w:rPr>
        <w:t xml:space="preserve">17. </w:t>
      </w:r>
      <w:r>
        <w:rPr>
          <w:rFonts w:ascii="Calibri" w:hAnsi="Calibri"/>
          <w:color w:val="334155"/>
          <w:sz w:val="21"/>
        </w:rPr>
        <w:t xml:space="preserve">Chen, T., &amp; Guestrin, C. (2016). XGBoost: A scalable tree boosting system. In </w:t>
      </w:r>
      <w:r>
        <w:rPr>
          <w:rFonts w:ascii="Calibri" w:hAnsi="Calibri"/>
          <w:i/>
          <w:color w:val="334155"/>
          <w:sz w:val="21"/>
        </w:rPr>
        <w:t>Proceedings of the 22nd ACM SIGKDD International Conference on Knowledge Discovery and Data Mining</w:t>
      </w:r>
      <w:r>
        <w:rPr>
          <w:rFonts w:ascii="Calibri" w:hAnsi="Calibri"/>
          <w:color w:val="334155"/>
          <w:sz w:val="21"/>
        </w:rPr>
        <w:t xml:space="preserve"> (pp. 785–794). ACM. https://doi.org/10.1145/2939672.2939785</w:t>
      </w:r>
    </w:p>
    <w:p>
      <w:pPr>
        <w:spacing w:before="40" w:after="60"/>
        <w:ind w:left="360"/>
      </w:pPr>
      <w:r>
        <w:rPr>
          <w:rFonts w:ascii="Calibri" w:hAnsi="Calibri"/>
          <w:b/>
          <w:color w:val="1E293B"/>
          <w:sz w:val="21"/>
        </w:rPr>
        <w:t xml:space="preserve">18. </w:t>
      </w:r>
      <w:r>
        <w:rPr>
          <w:rFonts w:ascii="Calibri" w:hAnsi="Calibri"/>
          <w:color w:val="334155"/>
          <w:sz w:val="21"/>
        </w:rPr>
        <w:t xml:space="preserve">Cheung, M. W. M., Chaloupka, M., Hock, K., &amp; Mumby, P. J. (2025). Beyond temperature metrics in coral bleaching prediction using interpretable machine learning. </w:t>
      </w:r>
      <w:r>
        <w:rPr>
          <w:rFonts w:ascii="Calibri" w:hAnsi="Calibri"/>
          <w:i/>
          <w:color w:val="334155"/>
          <w:sz w:val="21"/>
        </w:rPr>
        <w:t>Global Ecology and Biogeography</w:t>
      </w:r>
      <w:r>
        <w:rPr>
          <w:rFonts w:ascii="Calibri" w:hAnsi="Calibri"/>
          <w:color w:val="334155"/>
          <w:sz w:val="21"/>
        </w:rPr>
        <w:t>, 34(1), e70105. https://doi.org/10.1111/geb.70105</w:t>
      </w:r>
    </w:p>
    <w:p>
      <w:pPr>
        <w:spacing w:before="40" w:after="60"/>
        <w:ind w:left="360"/>
      </w:pPr>
      <w:r>
        <w:rPr>
          <w:rFonts w:ascii="Calibri" w:hAnsi="Calibri"/>
          <w:b/>
          <w:color w:val="1E293B"/>
          <w:sz w:val="21"/>
        </w:rPr>
        <w:t xml:space="preserve">19. </w:t>
      </w:r>
      <w:r>
        <w:rPr>
          <w:rFonts w:ascii="Calibri" w:hAnsi="Calibri"/>
          <w:color w:val="334155"/>
          <w:sz w:val="21"/>
        </w:rPr>
        <w:t xml:space="preserve">Cornwall, C. E., Comeau, S., Kornder, N. A., Perry, C., van Hooidonk, R., DeCarlo, T., et al. (2021). Global declines in coral reef calcium carbonate production under ocean acidification and warming. </w:t>
      </w:r>
      <w:r>
        <w:rPr>
          <w:rFonts w:ascii="Calibri" w:hAnsi="Calibri"/>
          <w:i/>
          <w:color w:val="334155"/>
          <w:sz w:val="21"/>
        </w:rPr>
        <w:t>Proceedings of the National Academy of Sciences</w:t>
      </w:r>
      <w:r>
        <w:rPr>
          <w:rFonts w:ascii="Calibri" w:hAnsi="Calibri"/>
          <w:color w:val="334155"/>
          <w:sz w:val="21"/>
        </w:rPr>
        <w:t>, 118(21), e2015265118. https://doi.org/10.1073/pnas.2015265118</w:t>
      </w:r>
    </w:p>
    <w:p>
      <w:pPr>
        <w:spacing w:before="40" w:after="60"/>
        <w:ind w:left="360"/>
      </w:pPr>
      <w:r>
        <w:rPr>
          <w:rFonts w:ascii="Calibri" w:hAnsi="Calibri"/>
          <w:b/>
          <w:color w:val="1E293B"/>
          <w:sz w:val="21"/>
        </w:rPr>
        <w:t xml:space="preserve">20. </w:t>
      </w:r>
      <w:r>
        <w:rPr>
          <w:rFonts w:ascii="Calibri" w:hAnsi="Calibri"/>
          <w:color w:val="334155"/>
          <w:sz w:val="21"/>
        </w:rPr>
        <w:t xml:space="preserve">Cyronak, T., Andersson, A. J., D'Angelo, S., et al. (2018). Taking the metabolic pulse of the world’s coral reefs. </w:t>
      </w:r>
      <w:r>
        <w:rPr>
          <w:rFonts w:ascii="Calibri" w:hAnsi="Calibri"/>
          <w:i/>
          <w:color w:val="334155"/>
          <w:sz w:val="21"/>
        </w:rPr>
        <w:t>PLOS ONE</w:t>
      </w:r>
      <w:r>
        <w:rPr>
          <w:rFonts w:ascii="Calibri" w:hAnsi="Calibri"/>
          <w:color w:val="334155"/>
          <w:sz w:val="21"/>
        </w:rPr>
        <w:t>, 13(1), e0190872. https://doi.org/10.1371/journal.pone.0190872</w:t>
      </w:r>
    </w:p>
    <w:p>
      <w:pPr>
        <w:spacing w:before="40" w:after="60"/>
        <w:ind w:left="360"/>
      </w:pPr>
      <w:r>
        <w:rPr>
          <w:rFonts w:ascii="Calibri" w:hAnsi="Calibri"/>
          <w:b/>
          <w:color w:val="1E293B"/>
          <w:sz w:val="21"/>
        </w:rPr>
        <w:t xml:space="preserve">21. </w:t>
      </w:r>
      <w:r>
        <w:rPr>
          <w:rFonts w:ascii="Calibri" w:hAnsi="Calibri"/>
          <w:color w:val="334155"/>
          <w:sz w:val="21"/>
        </w:rPr>
        <w:t xml:space="preserve">de Koning, K., Broekhuijsen, J., Kühn, I., Ovaskainen, O., Taubert, F., Endresen, D., Schigel, D., &amp; Grimm, V. (2023). Digital twins: Dynamic model-data fusion for ecology. </w:t>
      </w:r>
      <w:r>
        <w:rPr>
          <w:rFonts w:ascii="Calibri" w:hAnsi="Calibri"/>
          <w:i/>
          <w:color w:val="334155"/>
          <w:sz w:val="21"/>
        </w:rPr>
        <w:t>Trends in Ecology &amp; Evolution</w:t>
      </w:r>
      <w:r>
        <w:rPr>
          <w:rFonts w:ascii="Calibri" w:hAnsi="Calibri"/>
          <w:color w:val="334155"/>
          <w:sz w:val="21"/>
        </w:rPr>
        <w:t>, 38(10), 916–926. https://doi.org/10.1016/j.tree.2023.04.010</w:t>
      </w:r>
    </w:p>
    <w:p>
      <w:pPr>
        <w:spacing w:before="40" w:after="60"/>
        <w:ind w:left="360"/>
      </w:pPr>
      <w:r>
        <w:rPr>
          <w:rFonts w:ascii="Calibri" w:hAnsi="Calibri"/>
          <w:b/>
          <w:color w:val="1E293B"/>
          <w:sz w:val="21"/>
        </w:rPr>
        <w:t xml:space="preserve">22. </w:t>
      </w:r>
      <w:r>
        <w:rPr>
          <w:rFonts w:ascii="Calibri" w:hAnsi="Calibri"/>
          <w:color w:val="334155"/>
          <w:sz w:val="21"/>
        </w:rPr>
        <w:t xml:space="preserve">Dobson, K. L., et al. (2024). Ocean acidification and thermal stress recovery in scleractinian corals. </w:t>
      </w:r>
      <w:r>
        <w:rPr>
          <w:rFonts w:ascii="Calibri" w:hAnsi="Calibri"/>
          <w:i/>
          <w:color w:val="334155"/>
          <w:sz w:val="21"/>
        </w:rPr>
        <w:t>Marine Ecology Progress Series</w:t>
      </w:r>
      <w:r>
        <w:rPr>
          <w:rFonts w:ascii="Calibri" w:hAnsi="Calibri"/>
          <w:color w:val="334155"/>
          <w:sz w:val="21"/>
        </w:rPr>
        <w:t>, 726, 45–62. https://doi.org/10.3354/meps14482</w:t>
      </w:r>
    </w:p>
    <w:p>
      <w:pPr>
        <w:spacing w:before="40" w:after="60"/>
        <w:ind w:left="360"/>
      </w:pPr>
      <w:r>
        <w:rPr>
          <w:rFonts w:ascii="Calibri" w:hAnsi="Calibri"/>
          <w:b/>
          <w:color w:val="1E293B"/>
          <w:sz w:val="21"/>
        </w:rPr>
        <w:t xml:space="preserve">23. </w:t>
      </w:r>
      <w:r>
        <w:rPr>
          <w:rFonts w:ascii="Calibri" w:hAnsi="Calibri"/>
          <w:color w:val="334155"/>
          <w:sz w:val="21"/>
        </w:rPr>
        <w:t xml:space="preserve">Esplandiu, E., Morris, J., Enochs, I., Besemer, N., &amp; Lirman, D. (2024). Enhancing reef carbonate budgets through coral restoration. </w:t>
      </w:r>
      <w:r>
        <w:rPr>
          <w:rFonts w:ascii="Calibri" w:hAnsi="Calibri"/>
          <w:i/>
          <w:color w:val="334155"/>
          <w:sz w:val="21"/>
        </w:rPr>
        <w:t>Scientific Reports</w:t>
      </w:r>
      <w:r>
        <w:rPr>
          <w:rFonts w:ascii="Calibri" w:hAnsi="Calibri"/>
          <w:color w:val="334155"/>
          <w:sz w:val="21"/>
        </w:rPr>
        <w:t>, 14, 27599. https://doi.org/10.1038/s41598-024-76799-8</w:t>
      </w:r>
    </w:p>
    <w:p>
      <w:pPr>
        <w:spacing w:before="40" w:after="60"/>
        <w:ind w:left="360"/>
      </w:pPr>
      <w:r>
        <w:rPr>
          <w:rFonts w:ascii="Calibri" w:hAnsi="Calibri"/>
          <w:b/>
          <w:color w:val="1E293B"/>
          <w:sz w:val="21"/>
        </w:rPr>
        <w:t xml:space="preserve">24. </w:t>
      </w:r>
      <w:r>
        <w:rPr>
          <w:rFonts w:ascii="Calibri" w:hAnsi="Calibri"/>
          <w:color w:val="334155"/>
          <w:sz w:val="21"/>
        </w:rPr>
        <w:t xml:space="preserve">Evensen, N. R., Fine, M., Perna, G., et al. (2023). Thermal tolerance of coral recruits and adult colonies: implications for active reef restoration. </w:t>
      </w:r>
      <w:r>
        <w:rPr>
          <w:rFonts w:ascii="Calibri" w:hAnsi="Calibri"/>
          <w:i/>
          <w:color w:val="334155"/>
          <w:sz w:val="21"/>
        </w:rPr>
        <w:t>Restoration Ecology</w:t>
      </w:r>
      <w:r>
        <w:rPr>
          <w:rFonts w:ascii="Calibri" w:hAnsi="Calibri"/>
          <w:color w:val="334155"/>
          <w:sz w:val="21"/>
        </w:rPr>
        <w:t>, 31(2), e13812. https://doi.org/10.1111/rec.13812</w:t>
      </w:r>
    </w:p>
    <w:p>
      <w:pPr>
        <w:spacing w:before="40" w:after="60"/>
        <w:ind w:left="360"/>
      </w:pPr>
      <w:r>
        <w:rPr>
          <w:rFonts w:ascii="Calibri" w:hAnsi="Calibri"/>
          <w:b/>
          <w:color w:val="1E293B"/>
          <w:sz w:val="21"/>
        </w:rPr>
        <w:t xml:space="preserve">25. </w:t>
      </w:r>
      <w:r>
        <w:rPr>
          <w:rFonts w:ascii="Calibri" w:hAnsi="Calibri"/>
          <w:color w:val="334155"/>
          <w:sz w:val="21"/>
        </w:rPr>
        <w:t xml:space="preserve">Eyre, B. D., Cyronak, T., Drupp, P., et al. (2018). Coral reefs will transition to net dissolving before end of century. </w:t>
      </w:r>
      <w:r>
        <w:rPr>
          <w:rFonts w:ascii="Calibri" w:hAnsi="Calibri"/>
          <w:i/>
          <w:color w:val="334155"/>
          <w:sz w:val="21"/>
        </w:rPr>
        <w:t>Science</w:t>
      </w:r>
      <w:r>
        <w:rPr>
          <w:rFonts w:ascii="Calibri" w:hAnsi="Calibri"/>
          <w:color w:val="334155"/>
          <w:sz w:val="21"/>
        </w:rPr>
        <w:t>, 359(6378), 908–911. https://doi.org/10.1126/science.aao1118</w:t>
      </w:r>
    </w:p>
    <w:p>
      <w:pPr>
        <w:spacing w:before="40" w:after="60"/>
        <w:ind w:left="360"/>
      </w:pPr>
      <w:r>
        <w:rPr>
          <w:rFonts w:ascii="Calibri" w:hAnsi="Calibri"/>
          <w:b/>
          <w:color w:val="1E293B"/>
          <w:sz w:val="21"/>
        </w:rPr>
        <w:t xml:space="preserve">26. </w:t>
      </w:r>
      <w:r>
        <w:rPr>
          <w:rFonts w:ascii="Calibri" w:hAnsi="Calibri"/>
          <w:color w:val="334155"/>
          <w:sz w:val="21"/>
        </w:rPr>
        <w:t xml:space="preserve">Føre, M., Alver, M., et al. (2024). Digital Twins in intensive aquaculture – Challenges, opportunities and future prospects. </w:t>
      </w:r>
      <w:r>
        <w:rPr>
          <w:rFonts w:ascii="Calibri" w:hAnsi="Calibri"/>
          <w:i/>
          <w:color w:val="334155"/>
          <w:sz w:val="21"/>
        </w:rPr>
        <w:t>Computers and Electronics in Agriculture</w:t>
      </w:r>
      <w:r>
        <w:rPr>
          <w:rFonts w:ascii="Calibri" w:hAnsi="Calibri"/>
          <w:color w:val="334155"/>
          <w:sz w:val="21"/>
        </w:rPr>
        <w:t>, 218, Article 108676. https://doi.org/10.1016/j.compag.2024.108676</w:t>
      </w:r>
    </w:p>
    <w:p>
      <w:pPr>
        <w:spacing w:before="40" w:after="60"/>
        <w:ind w:left="360"/>
      </w:pPr>
      <w:r>
        <w:rPr>
          <w:rFonts w:ascii="Calibri" w:hAnsi="Calibri"/>
          <w:b/>
          <w:color w:val="1E293B"/>
          <w:sz w:val="21"/>
        </w:rPr>
        <w:t xml:space="preserve">27. </w:t>
      </w:r>
      <w:r>
        <w:rPr>
          <w:rFonts w:ascii="Calibri" w:hAnsi="Calibri"/>
          <w:color w:val="334155"/>
          <w:sz w:val="21"/>
        </w:rPr>
        <w:t xml:space="preserve">Giles, A. B., Ren, K., Davies, J. E., Abrego, D., &amp; Kelaher, B. (2023). Combining drones and deep learning to automate coral reef assessment with RGB imagery. </w:t>
      </w:r>
      <w:r>
        <w:rPr>
          <w:rFonts w:ascii="Calibri" w:hAnsi="Calibri"/>
          <w:i/>
          <w:color w:val="334155"/>
          <w:sz w:val="21"/>
        </w:rPr>
        <w:t>Remote Sensing</w:t>
      </w:r>
      <w:r>
        <w:rPr>
          <w:rFonts w:ascii="Calibri" w:hAnsi="Calibri"/>
          <w:color w:val="334155"/>
          <w:sz w:val="21"/>
        </w:rPr>
        <w:t>, 15(9), 2238. https://doi.org/10.3390/rs15092238</w:t>
      </w:r>
    </w:p>
    <w:p>
      <w:pPr>
        <w:spacing w:before="40" w:after="60"/>
        <w:ind w:left="360"/>
      </w:pPr>
      <w:r>
        <w:rPr>
          <w:rFonts w:ascii="Calibri" w:hAnsi="Calibri"/>
          <w:b/>
          <w:color w:val="1E293B"/>
          <w:sz w:val="21"/>
        </w:rPr>
        <w:t xml:space="preserve">28. </w:t>
      </w:r>
      <w:r>
        <w:rPr>
          <w:rFonts w:ascii="Calibri" w:hAnsi="Calibri"/>
          <w:color w:val="334155"/>
          <w:sz w:val="21"/>
        </w:rPr>
        <w:t xml:space="preserve">González-Rivero, M., Beijbom, O., Rodriguez-Ramirez, A., Bryant, D. E. P., Ganase, A., González-Marrero, Y., et al. (2020). Monitoring of coral reefs using artificial intelligence: A feasible and cost-effective approach. </w:t>
      </w:r>
      <w:r>
        <w:rPr>
          <w:rFonts w:ascii="Calibri" w:hAnsi="Calibri"/>
          <w:i/>
          <w:color w:val="334155"/>
          <w:sz w:val="21"/>
        </w:rPr>
        <w:t>Remote Sensing</w:t>
      </w:r>
      <w:r>
        <w:rPr>
          <w:rFonts w:ascii="Calibri" w:hAnsi="Calibri"/>
          <w:color w:val="334155"/>
          <w:sz w:val="21"/>
        </w:rPr>
        <w:t>, 12(3), 489. https://doi.org/10.3390/rs12030489</w:t>
      </w:r>
    </w:p>
    <w:p>
      <w:pPr>
        <w:spacing w:before="40" w:after="60"/>
        <w:ind w:left="360"/>
      </w:pPr>
      <w:r>
        <w:rPr>
          <w:rFonts w:ascii="Calibri" w:hAnsi="Calibri"/>
          <w:b/>
          <w:color w:val="1E293B"/>
          <w:sz w:val="21"/>
        </w:rPr>
        <w:t xml:space="preserve">29. </w:t>
      </w:r>
      <w:r>
        <w:rPr>
          <w:rFonts w:ascii="Calibri" w:hAnsi="Calibri"/>
          <w:color w:val="334155"/>
          <w:sz w:val="21"/>
        </w:rPr>
        <w:t xml:space="preserve">Hein, M. Y., Vardi, T., et al. (2021). Perspectives on the Use of Coral Reef Restoration as a Strategy to Support and Improve Reef Ecosystem Services. </w:t>
      </w:r>
      <w:r>
        <w:rPr>
          <w:rFonts w:ascii="Calibri" w:hAnsi="Calibri"/>
          <w:i/>
          <w:color w:val="334155"/>
          <w:sz w:val="21"/>
        </w:rPr>
        <w:t>Frontiers in Marine Science</w:t>
      </w:r>
      <w:r>
        <w:rPr>
          <w:rFonts w:ascii="Calibri" w:hAnsi="Calibri"/>
          <w:color w:val="334155"/>
          <w:sz w:val="21"/>
        </w:rPr>
        <w:t>, 8, Article 618303. https://doi.org/10.3389/fmars.2021.618303</w:t>
      </w:r>
    </w:p>
    <w:p>
      <w:pPr>
        <w:spacing w:before="40" w:after="60"/>
        <w:ind w:left="360"/>
      </w:pPr>
      <w:r>
        <w:rPr>
          <w:rFonts w:ascii="Calibri" w:hAnsi="Calibri"/>
          <w:b/>
          <w:color w:val="1E293B"/>
          <w:sz w:val="21"/>
        </w:rPr>
        <w:t xml:space="preserve">30. </w:t>
      </w:r>
      <w:r>
        <w:rPr>
          <w:rFonts w:ascii="Calibri" w:hAnsi="Calibri"/>
          <w:color w:val="334155"/>
          <w:sz w:val="21"/>
        </w:rPr>
        <w:t xml:space="preserve">Hochreiter, S., &amp; Schmidhuber, J. (1997). Long short-term memory. </w:t>
      </w:r>
      <w:r>
        <w:rPr>
          <w:rFonts w:ascii="Calibri" w:hAnsi="Calibri"/>
          <w:i/>
          <w:color w:val="334155"/>
          <w:sz w:val="21"/>
        </w:rPr>
        <w:t>Neural Computation</w:t>
      </w:r>
      <w:r>
        <w:rPr>
          <w:rFonts w:ascii="Calibri" w:hAnsi="Calibri"/>
          <w:color w:val="334155"/>
          <w:sz w:val="21"/>
        </w:rPr>
        <w:t>, 9(8), 1735–1780. https://doi.org/10.1162/neco.1997.9.8.1735</w:t>
      </w:r>
    </w:p>
    <w:p>
      <w:pPr>
        <w:spacing w:before="40" w:after="60"/>
        <w:ind w:left="360"/>
      </w:pPr>
      <w:r>
        <w:rPr>
          <w:rFonts w:ascii="Calibri" w:hAnsi="Calibri"/>
          <w:b/>
          <w:color w:val="1E293B"/>
          <w:sz w:val="21"/>
        </w:rPr>
        <w:t xml:space="preserve">31. </w:t>
      </w:r>
      <w:r>
        <w:rPr>
          <w:rFonts w:ascii="Calibri" w:hAnsi="Calibri"/>
          <w:color w:val="334155"/>
          <w:sz w:val="21"/>
        </w:rPr>
        <w:t xml:space="preserve">Hoegh-Guldberg, O., Mumby, P. J., Hooten, A. J., et al. (2007). Coral reefs under rapid climate change and ocean acidification. </w:t>
      </w:r>
      <w:r>
        <w:rPr>
          <w:rFonts w:ascii="Calibri" w:hAnsi="Calibri"/>
          <w:i/>
          <w:color w:val="334155"/>
          <w:sz w:val="21"/>
        </w:rPr>
        <w:t>Science</w:t>
      </w:r>
      <w:r>
        <w:rPr>
          <w:rFonts w:ascii="Calibri" w:hAnsi="Calibri"/>
          <w:color w:val="334155"/>
          <w:sz w:val="21"/>
        </w:rPr>
        <w:t>, 318(5857), 1737–1742. https://doi.org/10.1126/science.1152509</w:t>
      </w:r>
    </w:p>
    <w:p>
      <w:pPr>
        <w:spacing w:before="40" w:after="60"/>
        <w:ind w:left="360"/>
      </w:pPr>
      <w:r>
        <w:rPr>
          <w:rFonts w:ascii="Calibri" w:hAnsi="Calibri"/>
          <w:b/>
          <w:color w:val="1E293B"/>
          <w:sz w:val="21"/>
        </w:rPr>
        <w:t xml:space="preserve">32. </w:t>
      </w:r>
      <w:r>
        <w:rPr>
          <w:rFonts w:ascii="Calibri" w:hAnsi="Calibri"/>
          <w:color w:val="334155"/>
          <w:sz w:val="21"/>
        </w:rPr>
        <w:t xml:space="preserve">Hughes, T. P., Anderson, K. D., Connolly, S. R., et al. (2018). Spatial and temporal patterns of mass bleaching of corals in the Anthropocene. </w:t>
      </w:r>
      <w:r>
        <w:rPr>
          <w:rFonts w:ascii="Calibri" w:hAnsi="Calibri"/>
          <w:i/>
          <w:color w:val="334155"/>
          <w:sz w:val="21"/>
        </w:rPr>
        <w:t>Science</w:t>
      </w:r>
      <w:r>
        <w:rPr>
          <w:rFonts w:ascii="Calibri" w:hAnsi="Calibri"/>
          <w:color w:val="334155"/>
          <w:sz w:val="21"/>
        </w:rPr>
        <w:t>, 359(6371), 80–83. https://doi.org/10.1126/science.aan8048</w:t>
      </w:r>
    </w:p>
    <w:p>
      <w:pPr>
        <w:spacing w:before="40" w:after="60"/>
        <w:ind w:left="360"/>
      </w:pPr>
      <w:r>
        <w:rPr>
          <w:rFonts w:ascii="Calibri" w:hAnsi="Calibri"/>
          <w:b/>
          <w:color w:val="1E293B"/>
          <w:sz w:val="21"/>
        </w:rPr>
        <w:t xml:space="preserve">33. </w:t>
      </w:r>
      <w:r>
        <w:rPr>
          <w:rFonts w:ascii="Calibri" w:hAnsi="Calibri"/>
          <w:color w:val="334155"/>
          <w:sz w:val="21"/>
        </w:rPr>
        <w:t xml:space="preserve">Hughes, T. P., Kerry, J. T., Álvarez-Noriega, M., et al. (2017). Global warming and recurrent mass bleaching of corals. </w:t>
      </w:r>
      <w:r>
        <w:rPr>
          <w:rFonts w:ascii="Calibri" w:hAnsi="Calibri"/>
          <w:i/>
          <w:color w:val="334155"/>
          <w:sz w:val="21"/>
        </w:rPr>
        <w:t>Nature</w:t>
      </w:r>
      <w:r>
        <w:rPr>
          <w:rFonts w:ascii="Calibri" w:hAnsi="Calibri"/>
          <w:color w:val="334155"/>
          <w:sz w:val="21"/>
        </w:rPr>
        <w:t>, 543(7645), 373–377. https://doi.org/10.1038/nature21707</w:t>
      </w:r>
    </w:p>
    <w:p>
      <w:pPr>
        <w:spacing w:before="40" w:after="60"/>
        <w:ind w:left="360"/>
      </w:pPr>
      <w:r>
        <w:rPr>
          <w:rFonts w:ascii="Calibri" w:hAnsi="Calibri"/>
          <w:b/>
          <w:color w:val="1E293B"/>
          <w:sz w:val="21"/>
        </w:rPr>
        <w:t xml:space="preserve">34. </w:t>
      </w:r>
      <w:r>
        <w:rPr>
          <w:rFonts w:ascii="Calibri" w:hAnsi="Calibri"/>
          <w:color w:val="334155"/>
          <w:sz w:val="21"/>
        </w:rPr>
        <w:t xml:space="preserve">Hughes, T. P., Kerry, J. T., Connolly, S. R., et al. (2021). Emergent properties in the responses of coral reef communities to recurrent bleaching events. </w:t>
      </w:r>
      <w:r>
        <w:rPr>
          <w:rFonts w:ascii="Calibri" w:hAnsi="Calibri"/>
          <w:i/>
          <w:color w:val="334155"/>
          <w:sz w:val="21"/>
        </w:rPr>
        <w:t>Nature Climate Change</w:t>
      </w:r>
      <w:r>
        <w:rPr>
          <w:rFonts w:ascii="Calibri" w:hAnsi="Calibri"/>
          <w:color w:val="334155"/>
          <w:sz w:val="21"/>
        </w:rPr>
        <w:t>, 11(11), 1007–1013. https://doi.org/10.1038/s41558-021-01136-3</w:t>
      </w:r>
    </w:p>
    <w:p>
      <w:pPr>
        <w:spacing w:before="40" w:after="60"/>
        <w:ind w:left="360"/>
      </w:pPr>
      <w:r>
        <w:rPr>
          <w:rFonts w:ascii="Calibri" w:hAnsi="Calibri"/>
          <w:b/>
          <w:color w:val="1E293B"/>
          <w:sz w:val="21"/>
        </w:rPr>
        <w:t xml:space="preserve">35. </w:t>
      </w:r>
      <w:r>
        <w:rPr>
          <w:rFonts w:ascii="Calibri" w:hAnsi="Calibri"/>
          <w:color w:val="334155"/>
          <w:sz w:val="21"/>
        </w:rPr>
        <w:t xml:space="preserve">Klein, S. G., Steckbauer, A., &amp; Duarte, C. M. (2022). Marine heatwaves and ocean acidification act synergistically to enhance coral mortality. </w:t>
      </w:r>
      <w:r>
        <w:rPr>
          <w:rFonts w:ascii="Calibri" w:hAnsi="Calibri"/>
          <w:i/>
          <w:color w:val="334155"/>
          <w:sz w:val="21"/>
        </w:rPr>
        <w:t>Global Change Biology</w:t>
      </w:r>
      <w:r>
        <w:rPr>
          <w:rFonts w:ascii="Calibri" w:hAnsi="Calibri"/>
          <w:color w:val="334155"/>
          <w:sz w:val="21"/>
        </w:rPr>
        <w:t>, 28(8), 2597–2608. https://doi.org/10.1111/gcb.16099</w:t>
      </w:r>
    </w:p>
    <w:p>
      <w:pPr>
        <w:spacing w:before="40" w:after="60"/>
        <w:ind w:left="360"/>
      </w:pPr>
      <w:r>
        <w:rPr>
          <w:rFonts w:ascii="Calibri" w:hAnsi="Calibri"/>
          <w:b/>
          <w:color w:val="1E293B"/>
          <w:sz w:val="21"/>
        </w:rPr>
        <w:t xml:space="preserve">36. </w:t>
      </w:r>
      <w:r>
        <w:rPr>
          <w:rFonts w:ascii="Calibri" w:hAnsi="Calibri"/>
          <w:color w:val="334155"/>
          <w:sz w:val="21"/>
        </w:rPr>
        <w:t xml:space="preserve">Kleypas, J., Allemand, D., Anthony, K., Baker, A. C., Beck, M. W., Hale, L. Z., Hilmi, N., Hoegh-Guldberg, O., Hughes, T., &amp; Kaufman, L. (2021). Designing a blueprint for coral reef survival. </w:t>
      </w:r>
      <w:r>
        <w:rPr>
          <w:rFonts w:ascii="Calibri" w:hAnsi="Calibri"/>
          <w:i/>
          <w:color w:val="334155"/>
          <w:sz w:val="21"/>
        </w:rPr>
        <w:t>Biological Conservation</w:t>
      </w:r>
      <w:r>
        <w:rPr>
          <w:rFonts w:ascii="Calibri" w:hAnsi="Calibri"/>
          <w:color w:val="334155"/>
          <w:sz w:val="21"/>
        </w:rPr>
        <w:t>, 257, Article 109107. https://doi.org/10.1016/j.biocon.2021.109107</w:t>
      </w:r>
    </w:p>
    <w:p>
      <w:pPr>
        <w:spacing w:before="40" w:after="60"/>
        <w:ind w:left="360"/>
      </w:pPr>
      <w:r>
        <w:rPr>
          <w:rFonts w:ascii="Calibri" w:hAnsi="Calibri"/>
          <w:b/>
          <w:color w:val="1E293B"/>
          <w:sz w:val="21"/>
        </w:rPr>
        <w:t xml:space="preserve">37. </w:t>
      </w:r>
      <w:r>
        <w:rPr>
          <w:rFonts w:ascii="Calibri" w:hAnsi="Calibri"/>
          <w:color w:val="334155"/>
          <w:sz w:val="21"/>
        </w:rPr>
        <w:t xml:space="preserve">Ladd, M. C., Burkepile, D. E., &amp; Shantz, A. A. (2019). Near-term impacts of coral restoration on target species, coral reef community structure, and ecological processes. </w:t>
      </w:r>
      <w:r>
        <w:rPr>
          <w:rFonts w:ascii="Calibri" w:hAnsi="Calibri"/>
          <w:i/>
          <w:color w:val="334155"/>
          <w:sz w:val="21"/>
        </w:rPr>
        <w:t>Restoration Ecology</w:t>
      </w:r>
      <w:r>
        <w:rPr>
          <w:rFonts w:ascii="Calibri" w:hAnsi="Calibri"/>
          <w:color w:val="334155"/>
          <w:sz w:val="21"/>
        </w:rPr>
        <w:t>, 27(5), 1166–1176. https://doi.org/10.1111/rec.12939</w:t>
      </w:r>
    </w:p>
    <w:p>
      <w:pPr>
        <w:spacing w:before="40" w:after="60"/>
        <w:ind w:left="360"/>
      </w:pPr>
      <w:r>
        <w:rPr>
          <w:rFonts w:ascii="Calibri" w:hAnsi="Calibri"/>
          <w:b/>
          <w:color w:val="1E293B"/>
          <w:sz w:val="21"/>
        </w:rPr>
        <w:t xml:space="preserve">38. </w:t>
      </w:r>
      <w:r>
        <w:rPr>
          <w:rFonts w:ascii="Calibri" w:hAnsi="Calibri"/>
          <w:color w:val="334155"/>
          <w:sz w:val="21"/>
        </w:rPr>
        <w:t xml:space="preserve">Lin, Y.-C., Feng, S.-N., Lai, C.-Y., Tseng, H.-T., &amp; Huang, C.-W. (2023). Applying deep learning to predict SST variation and tropical cyclone patterns that influence coral bleaching. </w:t>
      </w:r>
      <w:r>
        <w:rPr>
          <w:rFonts w:ascii="Calibri" w:hAnsi="Calibri"/>
          <w:i/>
          <w:color w:val="334155"/>
          <w:sz w:val="21"/>
        </w:rPr>
        <w:t>Ecological Informatics</w:t>
      </w:r>
      <w:r>
        <w:rPr>
          <w:rFonts w:ascii="Calibri" w:hAnsi="Calibri"/>
          <w:color w:val="334155"/>
          <w:sz w:val="21"/>
        </w:rPr>
        <w:t>, 77, 102261. https://doi.org/10.1016/j.ecoinf.2023.102261</w:t>
      </w:r>
    </w:p>
    <w:p>
      <w:pPr>
        <w:spacing w:before="40" w:after="60"/>
        <w:ind w:left="360"/>
      </w:pPr>
      <w:r>
        <w:rPr>
          <w:rFonts w:ascii="Calibri" w:hAnsi="Calibri"/>
          <w:b/>
          <w:color w:val="1E293B"/>
          <w:sz w:val="21"/>
        </w:rPr>
        <w:t xml:space="preserve">39. </w:t>
      </w:r>
      <w:r>
        <w:rPr>
          <w:rFonts w:ascii="Calibri" w:hAnsi="Calibri"/>
          <w:color w:val="334155"/>
          <w:sz w:val="21"/>
        </w:rPr>
        <w:t xml:space="preserve">Liu, G., Heron, S. F., Eakin, C. M., et al. (2014). NOAA Coral Reef Watch 50 km and 5 km satellite coral bleaching monitoring products. </w:t>
      </w:r>
      <w:r>
        <w:rPr>
          <w:rFonts w:ascii="Calibri" w:hAnsi="Calibri"/>
          <w:i/>
          <w:color w:val="334155"/>
          <w:sz w:val="21"/>
        </w:rPr>
        <w:t>Remote Sensing</w:t>
      </w:r>
      <w:r>
        <w:rPr>
          <w:rFonts w:ascii="Calibri" w:hAnsi="Calibri"/>
          <w:color w:val="334155"/>
          <w:sz w:val="21"/>
        </w:rPr>
        <w:t>, 6(11), 11579–11606. https://doi.org/10.3390/rs61111579</w:t>
      </w:r>
    </w:p>
    <w:p>
      <w:pPr>
        <w:spacing w:before="40" w:after="60"/>
        <w:ind w:left="360"/>
      </w:pPr>
      <w:r>
        <w:rPr>
          <w:rFonts w:ascii="Calibri" w:hAnsi="Calibri"/>
          <w:b/>
          <w:color w:val="1E293B"/>
          <w:sz w:val="21"/>
        </w:rPr>
        <w:t xml:space="preserve">40. </w:t>
      </w:r>
      <w:r>
        <w:rPr>
          <w:rFonts w:ascii="Calibri" w:hAnsi="Calibri"/>
          <w:color w:val="334155"/>
          <w:sz w:val="21"/>
        </w:rPr>
        <w:t xml:space="preserve">Lundberg, S. M., &amp; Lee, S.-I. (2017). A unified approach to interpreting model predictions. In </w:t>
      </w:r>
      <w:r>
        <w:rPr>
          <w:rFonts w:ascii="Calibri" w:hAnsi="Calibri"/>
          <w:i/>
          <w:color w:val="334155"/>
          <w:sz w:val="21"/>
        </w:rPr>
        <w:t>Advances in Neural Information Processing Systems</w:t>
      </w:r>
      <w:r>
        <w:rPr>
          <w:rFonts w:ascii="Calibri" w:hAnsi="Calibri"/>
          <w:color w:val="334155"/>
          <w:sz w:val="21"/>
        </w:rPr>
        <w:t xml:space="preserve"> (NeurIPS 2017, Vol. 30, pp. 4765–4774). Curran Associates, Inc. https://doi.org/10.48550/arXiv.1705.07874</w:t>
      </w:r>
    </w:p>
    <w:p>
      <w:pPr>
        <w:spacing w:before="40" w:after="60"/>
        <w:ind w:left="360"/>
      </w:pPr>
      <w:r>
        <w:rPr>
          <w:rFonts w:ascii="Calibri" w:hAnsi="Calibri"/>
          <w:b/>
          <w:color w:val="1E293B"/>
          <w:sz w:val="21"/>
        </w:rPr>
        <w:t xml:space="preserve">41. </w:t>
      </w:r>
      <w:r>
        <w:rPr>
          <w:rFonts w:ascii="Calibri" w:hAnsi="Calibri"/>
          <w:color w:val="334155"/>
          <w:sz w:val="21"/>
        </w:rPr>
        <w:t xml:space="preserve">Lundberg, S. M., Erion, G., Chen, H., DeGrave, A., Prutkin, J. M., Nair, B., Katz, R., Himmelfarb, J., Bansal, N., &amp; Lee, S.-I. (2020). From local explanations to global understanding with explainable AI for trees. </w:t>
      </w:r>
      <w:r>
        <w:rPr>
          <w:rFonts w:ascii="Calibri" w:hAnsi="Calibri"/>
          <w:i/>
          <w:color w:val="334155"/>
          <w:sz w:val="21"/>
        </w:rPr>
        <w:t>Nature Machine Intelligence</w:t>
      </w:r>
      <w:r>
        <w:rPr>
          <w:rFonts w:ascii="Calibri" w:hAnsi="Calibri"/>
          <w:color w:val="334155"/>
          <w:sz w:val="21"/>
        </w:rPr>
        <w:t>, 2(1), 56–67. https://doi.org/10.1038/s42256-019-0138-9</w:t>
      </w:r>
    </w:p>
    <w:p>
      <w:pPr>
        <w:spacing w:before="40" w:after="60"/>
        <w:ind w:left="360"/>
      </w:pPr>
      <w:r>
        <w:rPr>
          <w:rFonts w:ascii="Calibri" w:hAnsi="Calibri"/>
          <w:b/>
          <w:color w:val="1E293B"/>
          <w:sz w:val="21"/>
        </w:rPr>
        <w:t xml:space="preserve">42. </w:t>
      </w:r>
      <w:r>
        <w:rPr>
          <w:rFonts w:ascii="Calibri" w:hAnsi="Calibri"/>
          <w:color w:val="334155"/>
          <w:sz w:val="21"/>
        </w:rPr>
        <w:t xml:space="preserve">Lyons, M. B., Roelfsema, C. M., Kennedy, E. V., et al. (2020). Mapping the world’s coral reefs using a global multiscale earth observation framework. </w:t>
      </w:r>
      <w:r>
        <w:rPr>
          <w:rFonts w:ascii="Calibri" w:hAnsi="Calibri"/>
          <w:i/>
          <w:color w:val="334155"/>
          <w:sz w:val="21"/>
        </w:rPr>
        <w:t>Remote Sensing in Ecology and Conservation</w:t>
      </w:r>
      <w:r>
        <w:rPr>
          <w:rFonts w:ascii="Calibri" w:hAnsi="Calibri"/>
          <w:color w:val="334155"/>
          <w:sz w:val="21"/>
        </w:rPr>
        <w:t>, 6(4), 557–568. https://doi.org/10.1002/rse2.157</w:t>
      </w:r>
    </w:p>
    <w:p>
      <w:pPr>
        <w:spacing w:before="40" w:after="60"/>
        <w:ind w:left="360"/>
      </w:pPr>
      <w:r>
        <w:rPr>
          <w:rFonts w:ascii="Calibri" w:hAnsi="Calibri"/>
          <w:b/>
          <w:color w:val="1E293B"/>
          <w:sz w:val="21"/>
        </w:rPr>
        <w:t xml:space="preserve">43. </w:t>
      </w:r>
      <w:r>
        <w:rPr>
          <w:rFonts w:ascii="Calibri" w:hAnsi="Calibri"/>
          <w:color w:val="334155"/>
          <w:sz w:val="21"/>
        </w:rPr>
        <w:t xml:space="preserve">Lyons, M. B., et al. (2024). Global coral reef area mapping using high-resolution satellite imagery. </w:t>
      </w:r>
      <w:r>
        <w:rPr>
          <w:rFonts w:ascii="Calibri" w:hAnsi="Calibri"/>
          <w:i/>
          <w:color w:val="334155"/>
          <w:sz w:val="21"/>
        </w:rPr>
        <w:t>Remote Sensing in Ecology and Conservation</w:t>
      </w:r>
      <w:r>
        <w:rPr>
          <w:rFonts w:ascii="Calibri" w:hAnsi="Calibri"/>
          <w:color w:val="334155"/>
          <w:sz w:val="21"/>
        </w:rPr>
        <w:t>, 10(2), 215–230. https://doi.org/10.1002/rse2.368</w:t>
      </w:r>
    </w:p>
    <w:p>
      <w:pPr>
        <w:spacing w:before="40" w:after="60"/>
        <w:ind w:left="360"/>
      </w:pPr>
      <w:r>
        <w:rPr>
          <w:rFonts w:ascii="Calibri" w:hAnsi="Calibri"/>
          <w:b/>
          <w:color w:val="1E293B"/>
          <w:sz w:val="21"/>
        </w:rPr>
        <w:t xml:space="preserve">44. </w:t>
      </w:r>
      <w:r>
        <w:rPr>
          <w:rFonts w:ascii="Calibri" w:hAnsi="Calibri"/>
          <w:color w:val="334155"/>
          <w:sz w:val="21"/>
        </w:rPr>
        <w:t xml:space="preserve">Madin, J. S., Hoogenboom, M. O., Connolly, S. R., Darling, E. S., Falster, D. S., Huang, D., Keith, S. A., Mizerek, T., Pandolfi, J. M., &amp; Baird, A. H. (2016). A mechanical resolution to Simpson's paradox in coral reef biodiversity. </w:t>
      </w:r>
      <w:r>
        <w:rPr>
          <w:rFonts w:ascii="Calibri" w:hAnsi="Calibri"/>
          <w:i/>
          <w:color w:val="334155"/>
          <w:sz w:val="21"/>
        </w:rPr>
        <w:t>Current Biology</w:t>
      </w:r>
      <w:r>
        <w:rPr>
          <w:rFonts w:ascii="Calibri" w:hAnsi="Calibri"/>
          <w:color w:val="334155"/>
          <w:sz w:val="21"/>
        </w:rPr>
        <w:t>, 26(18), 2441–2446. https://doi.org/10.1016/j.cub.2016.07.037</w:t>
      </w:r>
    </w:p>
    <w:p>
      <w:pPr>
        <w:spacing w:before="40" w:after="60"/>
        <w:ind w:left="360"/>
      </w:pPr>
      <w:r>
        <w:rPr>
          <w:rFonts w:ascii="Calibri" w:hAnsi="Calibri"/>
          <w:b/>
          <w:color w:val="1E293B"/>
          <w:sz w:val="21"/>
        </w:rPr>
        <w:t xml:space="preserve">45. </w:t>
      </w:r>
      <w:r>
        <w:rPr>
          <w:rFonts w:ascii="Calibri" w:hAnsi="Calibri"/>
          <w:color w:val="334155"/>
          <w:sz w:val="21"/>
        </w:rPr>
        <w:t xml:space="preserve">McLeod, E., Anthony, K. R. N., et al. (2019). The future of resilience-based management in coral reef ecosystems. </w:t>
      </w:r>
      <w:r>
        <w:rPr>
          <w:rFonts w:ascii="Calibri" w:hAnsi="Calibri"/>
          <w:i/>
          <w:color w:val="334155"/>
          <w:sz w:val="21"/>
        </w:rPr>
        <w:t>Journal of Environmental Management</w:t>
      </w:r>
      <w:r>
        <w:rPr>
          <w:rFonts w:ascii="Calibri" w:hAnsi="Calibri"/>
          <w:color w:val="334155"/>
          <w:sz w:val="21"/>
        </w:rPr>
        <w:t>, 233, 291–301. https://doi.org/10.1016/j.jenvman.2018.11.034</w:t>
      </w:r>
    </w:p>
    <w:p>
      <w:pPr>
        <w:spacing w:before="40" w:after="60"/>
        <w:ind w:left="360"/>
      </w:pPr>
      <w:r>
        <w:rPr>
          <w:rFonts w:ascii="Calibri" w:hAnsi="Calibri"/>
          <w:b/>
          <w:color w:val="1E293B"/>
          <w:sz w:val="21"/>
        </w:rPr>
        <w:t xml:space="preserve">46. </w:t>
      </w:r>
      <w:r>
        <w:rPr>
          <w:rFonts w:ascii="Calibri" w:hAnsi="Calibri"/>
          <w:color w:val="334155"/>
          <w:sz w:val="21"/>
        </w:rPr>
        <w:t xml:space="preserve">Mumby, P. J., Hastings, A., &amp; Edwards, H. J. (2007). Thresholds and the resilience of Caribbean coral reefs. </w:t>
      </w:r>
      <w:r>
        <w:rPr>
          <w:rFonts w:ascii="Calibri" w:hAnsi="Calibri"/>
          <w:i/>
          <w:color w:val="334155"/>
          <w:sz w:val="21"/>
        </w:rPr>
        <w:t>Nature</w:t>
      </w:r>
      <w:r>
        <w:rPr>
          <w:rFonts w:ascii="Calibri" w:hAnsi="Calibri"/>
          <w:color w:val="334155"/>
          <w:sz w:val="21"/>
        </w:rPr>
        <w:t>, 450(7166), 98–101. https://doi.org/10.1038/nature06252</w:t>
      </w:r>
    </w:p>
    <w:p>
      <w:pPr>
        <w:spacing w:before="40" w:after="60"/>
        <w:ind w:left="360"/>
      </w:pPr>
      <w:r>
        <w:rPr>
          <w:rFonts w:ascii="Calibri" w:hAnsi="Calibri"/>
          <w:b/>
          <w:color w:val="1E293B"/>
          <w:sz w:val="21"/>
        </w:rPr>
        <w:t xml:space="preserve">47. </w:t>
      </w:r>
      <w:r>
        <w:rPr>
          <w:rFonts w:ascii="Calibri" w:hAnsi="Calibri"/>
          <w:color w:val="334155"/>
          <w:sz w:val="21"/>
        </w:rPr>
        <w:t xml:space="preserve">Mumby, P. J., Wolff, N. H., Bozec, Y.-M., et al. (2014). Towards a mechanistic understanding of coral reef resilience. </w:t>
      </w:r>
      <w:r>
        <w:rPr>
          <w:rFonts w:ascii="Calibri" w:hAnsi="Calibri"/>
          <w:i/>
          <w:color w:val="334155"/>
          <w:sz w:val="21"/>
        </w:rPr>
        <w:t>Bulletin of Marine Science</w:t>
      </w:r>
      <w:r>
        <w:rPr>
          <w:rFonts w:ascii="Calibri" w:hAnsi="Calibri"/>
          <w:color w:val="334155"/>
          <w:sz w:val="21"/>
        </w:rPr>
        <w:t>, 90(1), 257–285. https://doi.org/10.5343/bms.2012.1092</w:t>
      </w:r>
    </w:p>
    <w:p>
      <w:pPr>
        <w:spacing w:before="40" w:after="60"/>
        <w:ind w:left="360"/>
      </w:pPr>
      <w:r>
        <w:rPr>
          <w:rFonts w:ascii="Calibri" w:hAnsi="Calibri"/>
          <w:b/>
          <w:color w:val="1E293B"/>
          <w:sz w:val="21"/>
        </w:rPr>
        <w:t xml:space="preserve">48. </w:t>
      </w:r>
      <w:r>
        <w:rPr>
          <w:rFonts w:ascii="Calibri" w:hAnsi="Calibri"/>
          <w:color w:val="334155"/>
          <w:sz w:val="21"/>
        </w:rPr>
        <w:t xml:space="preserve">Nomenisoa, R. F., et al. (2024). Remote sensing of coral reefs using Sentinel-2 and OBIA. </w:t>
      </w:r>
      <w:r>
        <w:rPr>
          <w:rFonts w:ascii="Calibri" w:hAnsi="Calibri"/>
          <w:i/>
          <w:color w:val="334155"/>
          <w:sz w:val="21"/>
        </w:rPr>
        <w:t>Remote Sensing Applications: Society and Environment</w:t>
      </w:r>
      <w:r>
        <w:rPr>
          <w:rFonts w:ascii="Calibri" w:hAnsi="Calibri"/>
          <w:color w:val="334155"/>
          <w:sz w:val="21"/>
        </w:rPr>
        <w:t>, 34, Article 101180. https://doi.org/10.1016/j.rsase.2024.101180</w:t>
      </w:r>
    </w:p>
    <w:p>
      <w:pPr>
        <w:spacing w:before="40" w:after="60"/>
        <w:ind w:left="360"/>
      </w:pPr>
      <w:r>
        <w:rPr>
          <w:rFonts w:ascii="Calibri" w:hAnsi="Calibri"/>
          <w:b/>
          <w:color w:val="1E293B"/>
          <w:sz w:val="21"/>
        </w:rPr>
        <w:t xml:space="preserve">49. </w:t>
      </w:r>
      <w:r>
        <w:rPr>
          <w:rFonts w:ascii="Calibri" w:hAnsi="Calibri"/>
          <w:color w:val="334155"/>
          <w:sz w:val="21"/>
        </w:rPr>
        <w:t xml:space="preserve">Ouassine, M., Conruyt, N., et al. (2025). Deep learning for automated coral reef monitoring: A novel system based on YOLOv8 detection and DeepSORT tracking. </w:t>
      </w:r>
      <w:r>
        <w:rPr>
          <w:rFonts w:ascii="Calibri" w:hAnsi="Calibri"/>
          <w:i/>
          <w:color w:val="334155"/>
          <w:sz w:val="21"/>
        </w:rPr>
        <w:t>Ecological Informatics</w:t>
      </w:r>
      <w:r>
        <w:rPr>
          <w:rFonts w:ascii="Calibri" w:hAnsi="Calibri"/>
          <w:color w:val="334155"/>
          <w:sz w:val="21"/>
        </w:rPr>
        <w:t>, 86, Article 103170. https://doi.org/10.1016/j.ecoinf.2025.103170</w:t>
      </w:r>
    </w:p>
    <w:p>
      <w:pPr>
        <w:spacing w:before="40" w:after="60"/>
        <w:ind w:left="360"/>
      </w:pPr>
      <w:r>
        <w:rPr>
          <w:rFonts w:ascii="Calibri" w:hAnsi="Calibri"/>
          <w:b/>
          <w:color w:val="1E293B"/>
          <w:sz w:val="21"/>
        </w:rPr>
        <w:t xml:space="preserve">50. </w:t>
      </w:r>
      <w:r>
        <w:rPr>
          <w:rFonts w:ascii="Calibri" w:hAnsi="Calibri"/>
          <w:color w:val="334155"/>
          <w:sz w:val="21"/>
        </w:rPr>
        <w:t xml:space="preserve">Price, D. M., Robert, K., et al. (2019). Using 3D photogrammetry from ROV video to quantify cold-water coral reef structural complexity and investigate its influence on biodiversity and community assemblage. </w:t>
      </w:r>
      <w:r>
        <w:rPr>
          <w:rFonts w:ascii="Calibri" w:hAnsi="Calibri"/>
          <w:i/>
          <w:color w:val="334155"/>
          <w:sz w:val="21"/>
        </w:rPr>
        <w:t>Coral Reefs</w:t>
      </w:r>
      <w:r>
        <w:rPr>
          <w:rFonts w:ascii="Calibri" w:hAnsi="Calibri"/>
          <w:color w:val="334155"/>
          <w:sz w:val="21"/>
        </w:rPr>
        <w:t>, 38(5), 1007–1021. https://doi.org/10.1007/s00338-019-01827-3</w:t>
      </w:r>
    </w:p>
    <w:p>
      <w:pPr>
        <w:spacing w:before="40" w:after="60"/>
        <w:ind w:left="360"/>
      </w:pPr>
      <w:r>
        <w:rPr>
          <w:rFonts w:ascii="Calibri" w:hAnsi="Calibri"/>
          <w:b/>
          <w:color w:val="1E293B"/>
          <w:sz w:val="21"/>
        </w:rPr>
        <w:t xml:space="preserve">51. </w:t>
      </w:r>
      <w:r>
        <w:rPr>
          <w:rFonts w:ascii="Calibri" w:hAnsi="Calibri"/>
          <w:color w:val="334155"/>
          <w:sz w:val="21"/>
        </w:rPr>
        <w:t xml:space="preserve">Quigley, K. M., Alvarez Roa, C., Torda, G., et al. (2022). Synergistic benefits of assisted evolution and outplanting for coral reef persistence under climate change. </w:t>
      </w:r>
      <w:r>
        <w:rPr>
          <w:rFonts w:ascii="Calibri" w:hAnsi="Calibri"/>
          <w:i/>
          <w:color w:val="334155"/>
          <w:sz w:val="21"/>
        </w:rPr>
        <w:t>Nature Climate Change</w:t>
      </w:r>
      <w:r>
        <w:rPr>
          <w:rFonts w:ascii="Calibri" w:hAnsi="Calibri"/>
          <w:color w:val="334155"/>
          <w:sz w:val="21"/>
        </w:rPr>
        <w:t>, 12(6), 568–577. https://doi.org/10.1038/s41558-022-01366-0</w:t>
      </w:r>
    </w:p>
    <w:p>
      <w:pPr>
        <w:spacing w:before="40" w:after="60"/>
        <w:ind w:left="360"/>
      </w:pPr>
      <w:r>
        <w:rPr>
          <w:rFonts w:ascii="Calibri" w:hAnsi="Calibri"/>
          <w:b/>
          <w:color w:val="1E293B"/>
          <w:sz w:val="21"/>
        </w:rPr>
        <w:t xml:space="preserve">52. </w:t>
      </w:r>
      <w:r>
        <w:rPr>
          <w:rFonts w:ascii="Calibri" w:hAnsi="Calibri"/>
          <w:color w:val="334155"/>
          <w:sz w:val="21"/>
        </w:rPr>
        <w:t xml:space="preserve">Rasheed, A., San, O., &amp; Kvamsdal, T. (2020). Digital twin: Values, challenges and enablers from a modeling perspective. </w:t>
      </w:r>
      <w:r>
        <w:rPr>
          <w:rFonts w:ascii="Calibri" w:hAnsi="Calibri"/>
          <w:i/>
          <w:color w:val="334155"/>
          <w:sz w:val="21"/>
        </w:rPr>
        <w:t>IEEE Access</w:t>
      </w:r>
      <w:r>
        <w:rPr>
          <w:rFonts w:ascii="Calibri" w:hAnsi="Calibri"/>
          <w:color w:val="334155"/>
          <w:sz w:val="21"/>
        </w:rPr>
        <w:t>, 8, 21980–22012. https://doi.org/10.1109/ACCESS.2020.2970143</w:t>
      </w:r>
    </w:p>
    <w:p>
      <w:pPr>
        <w:spacing w:before="40" w:after="60"/>
        <w:ind w:left="360"/>
      </w:pPr>
      <w:r>
        <w:rPr>
          <w:rFonts w:ascii="Calibri" w:hAnsi="Calibri"/>
          <w:b/>
          <w:color w:val="1E293B"/>
          <w:sz w:val="21"/>
        </w:rPr>
        <w:t xml:space="preserve">53. </w:t>
      </w:r>
      <w:r>
        <w:rPr>
          <w:rFonts w:ascii="Calibri" w:hAnsi="Calibri"/>
          <w:color w:val="334155"/>
          <w:sz w:val="21"/>
        </w:rPr>
        <w:t xml:space="preserve">Roberts, D. R., Bahn, V., Ciuti, S., et al. (2017). Cross-validation strategies for data with temporal, spatial, hierarchical or phylogenetic structure. </w:t>
      </w:r>
      <w:r>
        <w:rPr>
          <w:rFonts w:ascii="Calibri" w:hAnsi="Calibri"/>
          <w:i/>
          <w:color w:val="334155"/>
          <w:sz w:val="21"/>
        </w:rPr>
        <w:t>Ecography</w:t>
      </w:r>
      <w:r>
        <w:rPr>
          <w:rFonts w:ascii="Calibri" w:hAnsi="Calibri"/>
          <w:color w:val="334155"/>
          <w:sz w:val="21"/>
        </w:rPr>
        <w:t>, 40(8), 913–929. https://doi.org/10.1111/ecog.02881</w:t>
      </w:r>
    </w:p>
    <w:p>
      <w:pPr>
        <w:spacing w:before="40" w:after="60"/>
        <w:ind w:left="360"/>
      </w:pPr>
      <w:r>
        <w:rPr>
          <w:rFonts w:ascii="Calibri" w:hAnsi="Calibri"/>
          <w:b/>
          <w:color w:val="1E293B"/>
          <w:sz w:val="21"/>
        </w:rPr>
        <w:t xml:space="preserve">54. </w:t>
      </w:r>
      <w:r>
        <w:rPr>
          <w:rFonts w:ascii="Calibri" w:hAnsi="Calibri"/>
          <w:color w:val="334155"/>
          <w:sz w:val="21"/>
        </w:rPr>
        <w:t xml:space="preserve">Roelfsema, C., Kovacs, E., Lyons, M., et al. (2021). Workflow for the generation of global coral reef habitat maps using Sentinel-2 and PlanetScope satellite imagery. </w:t>
      </w:r>
      <w:r>
        <w:rPr>
          <w:rFonts w:ascii="Calibri" w:hAnsi="Calibri"/>
          <w:i/>
          <w:color w:val="334155"/>
          <w:sz w:val="21"/>
        </w:rPr>
        <w:t>Remote Sensing of Environment</w:t>
      </w:r>
      <w:r>
        <w:rPr>
          <w:rFonts w:ascii="Calibri" w:hAnsi="Calibri"/>
          <w:color w:val="334155"/>
          <w:sz w:val="21"/>
        </w:rPr>
        <w:t>, 265, 112638. https://doi.org/10.1016/j.rse.2021.112638</w:t>
      </w:r>
    </w:p>
    <w:p>
      <w:pPr>
        <w:spacing w:before="40" w:after="60"/>
        <w:ind w:left="360"/>
      </w:pPr>
      <w:r>
        <w:rPr>
          <w:rFonts w:ascii="Calibri" w:hAnsi="Calibri"/>
          <w:b/>
          <w:color w:val="1E293B"/>
          <w:sz w:val="21"/>
        </w:rPr>
        <w:t xml:space="preserve">55. </w:t>
      </w:r>
      <w:r>
        <w:rPr>
          <w:rFonts w:ascii="Calibri" w:hAnsi="Calibri"/>
          <w:color w:val="334155"/>
          <w:sz w:val="21"/>
        </w:rPr>
        <w:t xml:space="preserve">Rossi, P., Castagnetti, C., et al. (2020). Detecting change in coral reef 3D structure using underwater photogrammetry: critical issues and performance metrics. </w:t>
      </w:r>
      <w:r>
        <w:rPr>
          <w:rFonts w:ascii="Calibri" w:hAnsi="Calibri"/>
          <w:i/>
          <w:color w:val="334155"/>
          <w:sz w:val="21"/>
        </w:rPr>
        <w:t>Applied Geomatics</w:t>
      </w:r>
      <w:r>
        <w:rPr>
          <w:rFonts w:ascii="Calibri" w:hAnsi="Calibri"/>
          <w:color w:val="334155"/>
          <w:sz w:val="21"/>
        </w:rPr>
        <w:t>, 12(1), 3–17. https://doi.org/10.1007/s12518-019-00263-w</w:t>
      </w:r>
    </w:p>
    <w:p>
      <w:pPr>
        <w:spacing w:before="40" w:after="60"/>
        <w:ind w:left="360"/>
      </w:pPr>
      <w:r>
        <w:rPr>
          <w:rFonts w:ascii="Calibri" w:hAnsi="Calibri"/>
          <w:b/>
          <w:color w:val="1E293B"/>
          <w:sz w:val="21"/>
        </w:rPr>
        <w:t xml:space="preserve">56. </w:t>
      </w:r>
      <w:r>
        <w:rPr>
          <w:rFonts w:ascii="Calibri" w:hAnsi="Calibri"/>
          <w:color w:val="334155"/>
          <w:sz w:val="21"/>
        </w:rPr>
        <w:t xml:space="preserve">Sauder, J., Banc-Prandi, G., et al. (2023). Scalable semantic 3D mapping of coral reefs with deep learning. </w:t>
      </w:r>
      <w:r>
        <w:rPr>
          <w:rFonts w:ascii="Calibri" w:hAnsi="Calibri"/>
          <w:i/>
          <w:color w:val="334155"/>
          <w:sz w:val="21"/>
        </w:rPr>
        <w:t>Methods in Ecology and Evolution</w:t>
      </w:r>
      <w:r>
        <w:rPr>
          <w:rFonts w:ascii="Calibri" w:hAnsi="Calibri"/>
          <w:color w:val="334155"/>
          <w:sz w:val="21"/>
        </w:rPr>
        <w:t>, 14(7), 1735–1748. https://doi.org/10.1111/2041-210x.14307</w:t>
      </w:r>
    </w:p>
    <w:p>
      <w:pPr>
        <w:spacing w:before="40" w:after="60"/>
        <w:ind w:left="360"/>
      </w:pPr>
      <w:r>
        <w:rPr>
          <w:rFonts w:ascii="Calibri" w:hAnsi="Calibri"/>
          <w:b/>
          <w:color w:val="1E293B"/>
          <w:sz w:val="21"/>
        </w:rPr>
        <w:t xml:space="preserve">57. </w:t>
      </w:r>
      <w:r>
        <w:rPr>
          <w:rFonts w:ascii="Calibri" w:hAnsi="Calibri"/>
          <w:color w:val="334155"/>
          <w:sz w:val="21"/>
        </w:rPr>
        <w:t xml:space="preserve">Shaver, E. C., McLeod, E., Hein, M. Y., Palumbi, S. R., Quigley, K. M., Vardi, T., Mumby, P. J., Smith, D., Montoya-Maya, P., Muller, E. M., Banaszak, A. T., Beger, M., &amp; Stewart, D. (2022). A roadmap to integrating resilience into the practice of coral reef restoration. </w:t>
      </w:r>
      <w:r>
        <w:rPr>
          <w:rFonts w:ascii="Calibri" w:hAnsi="Calibri"/>
          <w:i/>
          <w:color w:val="334155"/>
          <w:sz w:val="21"/>
        </w:rPr>
        <w:t>Global Change Biology</w:t>
      </w:r>
      <w:r>
        <w:rPr>
          <w:rFonts w:ascii="Calibri" w:hAnsi="Calibri"/>
          <w:color w:val="334155"/>
          <w:sz w:val="21"/>
        </w:rPr>
        <w:t>, 28(16), 4751–4764. https://doi.org/10.1111/gcb.16212</w:t>
      </w:r>
    </w:p>
    <w:p>
      <w:pPr>
        <w:spacing w:before="40" w:after="60"/>
        <w:ind w:left="360"/>
      </w:pPr>
      <w:r>
        <w:rPr>
          <w:rFonts w:ascii="Calibri" w:hAnsi="Calibri"/>
          <w:b/>
          <w:color w:val="1E293B"/>
          <w:sz w:val="21"/>
        </w:rPr>
        <w:t xml:space="preserve">58. </w:t>
      </w:r>
      <w:r>
        <w:rPr>
          <w:rFonts w:ascii="Calibri" w:hAnsi="Calibri"/>
          <w:color w:val="334155"/>
          <w:sz w:val="21"/>
        </w:rPr>
        <w:t xml:space="preserve">Skirving, W., Heron, S. F., Marsh, B. L., et al. (2019). Heat stress metrics for coral bleaching. </w:t>
      </w:r>
      <w:r>
        <w:rPr>
          <w:rFonts w:ascii="Calibri" w:hAnsi="Calibri"/>
          <w:i/>
          <w:color w:val="334155"/>
          <w:sz w:val="21"/>
        </w:rPr>
        <w:t>NOAA Technical Report NESDIS</w:t>
      </w:r>
      <w:r>
        <w:rPr>
          <w:rFonts w:ascii="Calibri" w:hAnsi="Calibri"/>
          <w:color w:val="334155"/>
          <w:sz w:val="21"/>
        </w:rPr>
        <w:t>, 152, 1–45.</w:t>
      </w:r>
    </w:p>
    <w:p>
      <w:pPr>
        <w:spacing w:before="40" w:after="60"/>
        <w:ind w:left="360"/>
      </w:pPr>
      <w:r>
        <w:rPr>
          <w:rFonts w:ascii="Calibri" w:hAnsi="Calibri"/>
          <w:b/>
          <w:color w:val="1E293B"/>
          <w:sz w:val="21"/>
        </w:rPr>
        <w:t xml:space="preserve">59. </w:t>
      </w:r>
      <w:r>
        <w:rPr>
          <w:rFonts w:ascii="Calibri" w:hAnsi="Calibri"/>
          <w:color w:val="334155"/>
          <w:sz w:val="21"/>
        </w:rPr>
        <w:t xml:space="preserve">Sully, S., Burkepile, D. E., Donovan, M. K., et al. (2019). A global analysis of coral bleaching over the past two decades. </w:t>
      </w:r>
      <w:r>
        <w:rPr>
          <w:rFonts w:ascii="Calibri" w:hAnsi="Calibri"/>
          <w:i/>
          <w:color w:val="334155"/>
          <w:sz w:val="21"/>
        </w:rPr>
        <w:t>Nature Communications</w:t>
      </w:r>
      <w:r>
        <w:rPr>
          <w:rFonts w:ascii="Calibri" w:hAnsi="Calibri"/>
          <w:color w:val="334155"/>
          <w:sz w:val="21"/>
        </w:rPr>
        <w:t>, 10(1), 1264. https://doi.org/10.1038/s41467-019-09238-2</w:t>
      </w:r>
    </w:p>
    <w:p>
      <w:pPr>
        <w:spacing w:before="40" w:after="60"/>
        <w:ind w:left="360"/>
      </w:pPr>
      <w:r>
        <w:rPr>
          <w:rFonts w:ascii="Calibri" w:hAnsi="Calibri"/>
          <w:b/>
          <w:color w:val="1E293B"/>
          <w:sz w:val="21"/>
        </w:rPr>
        <w:t xml:space="preserve">60. </w:t>
      </w:r>
      <w:r>
        <w:rPr>
          <w:rFonts w:ascii="Calibri" w:hAnsi="Calibri"/>
          <w:color w:val="334155"/>
          <w:sz w:val="21"/>
        </w:rPr>
        <w:t xml:space="preserve">Tzachor, A., Hendel, O., &amp; Richards, C. E. (2023). Digital twins: A stepping stone to achieve ocean sustainability? </w:t>
      </w:r>
      <w:r>
        <w:rPr>
          <w:rFonts w:ascii="Calibri" w:hAnsi="Calibri"/>
          <w:i/>
          <w:color w:val="334155"/>
          <w:sz w:val="21"/>
        </w:rPr>
        <w:t>npj Ocean Sustainability</w:t>
      </w:r>
      <w:r>
        <w:rPr>
          <w:rFonts w:ascii="Calibri" w:hAnsi="Calibri"/>
          <w:color w:val="334155"/>
          <w:sz w:val="21"/>
        </w:rPr>
        <w:t>, 2, Article 16. https://doi.org/10.1038/s44183-023-00023-9</w:t>
      </w:r>
    </w:p>
    <w:p>
      <w:pPr>
        <w:spacing w:before="40" w:after="60"/>
        <w:ind w:left="360"/>
      </w:pPr>
      <w:r>
        <w:rPr>
          <w:rFonts w:ascii="Calibri" w:hAnsi="Calibri"/>
          <w:b/>
          <w:color w:val="1E293B"/>
          <w:sz w:val="21"/>
        </w:rPr>
        <w:t xml:space="preserve">61. </w:t>
      </w:r>
      <w:r>
        <w:rPr>
          <w:rFonts w:ascii="Calibri" w:hAnsi="Calibri"/>
          <w:color w:val="334155"/>
          <w:sz w:val="21"/>
        </w:rPr>
        <w:t xml:space="preserve">van Hooidonk, R., Maynard, J., Tamelander, J., Gove, J., Ahmadia, G. N., Raygada, R., Pickett, M., Platt, D. C., &amp; Planes, S. (2016). Local-scale projections of coral reef futures and implications of the Paris Agreement. </w:t>
      </w:r>
      <w:r>
        <w:rPr>
          <w:rFonts w:ascii="Calibri" w:hAnsi="Calibri"/>
          <w:i/>
          <w:color w:val="334155"/>
          <w:sz w:val="21"/>
        </w:rPr>
        <w:t>Scientific Reports</w:t>
      </w:r>
      <w:r>
        <w:rPr>
          <w:rFonts w:ascii="Calibri" w:hAnsi="Calibri"/>
          <w:color w:val="334155"/>
          <w:sz w:val="21"/>
        </w:rPr>
        <w:t>, 6, Article 39666. https://doi.org/10.1038/srep39666</w:t>
      </w:r>
    </w:p>
    <w:p>
      <w:pPr>
        <w:spacing w:before="40" w:after="60"/>
        <w:ind w:left="360"/>
      </w:pPr>
      <w:r>
        <w:rPr>
          <w:rFonts w:ascii="Calibri" w:hAnsi="Calibri"/>
          <w:b/>
          <w:color w:val="1E293B"/>
          <w:sz w:val="21"/>
        </w:rPr>
        <w:t xml:space="preserve">62. </w:t>
      </w:r>
      <w:r>
        <w:rPr>
          <w:rFonts w:ascii="Calibri" w:hAnsi="Calibri"/>
          <w:color w:val="334155"/>
          <w:sz w:val="21"/>
        </w:rPr>
        <w:t xml:space="preserve">Voolstra, C. R., Buitrago-López, C., Perna, G., et al. (2021). Standardized short-term acute thermal stress assays for rapidly assessing coral heat tolerance. </w:t>
      </w:r>
      <w:r>
        <w:rPr>
          <w:rFonts w:ascii="Calibri" w:hAnsi="Calibri"/>
          <w:i/>
          <w:color w:val="334155"/>
          <w:sz w:val="21"/>
        </w:rPr>
        <w:t>Nature Protocols</w:t>
      </w:r>
      <w:r>
        <w:rPr>
          <w:rFonts w:ascii="Calibri" w:hAnsi="Calibri"/>
          <w:color w:val="334155"/>
          <w:sz w:val="21"/>
        </w:rPr>
        <w:t>, 16(9), 4382–4414. https://doi.org/10.1038/s41596-021-00587-6</w:t>
      </w:r>
    </w:p>
    <w:p>
      <w:pPr>
        <w:spacing w:before="40" w:after="60"/>
        <w:ind w:left="360"/>
      </w:pPr>
      <w:r>
        <w:rPr>
          <w:rFonts w:ascii="Calibri" w:hAnsi="Calibri"/>
          <w:b/>
          <w:color w:val="1E293B"/>
          <w:sz w:val="21"/>
        </w:rPr>
        <w:t xml:space="preserve">63. </w:t>
      </w:r>
      <w:r>
        <w:rPr>
          <w:rFonts w:ascii="Calibri" w:hAnsi="Calibri"/>
          <w:color w:val="334155"/>
          <w:sz w:val="21"/>
        </w:rPr>
        <w:t xml:space="preserve">Webb, A. E., Enochs, I. C., van Hooidonk, R., van Westen, R. M., Besemer, N., Kolodziej, G., Viehman, T. S., &amp; Manzello, D. P. (2023). Restoration and coral adaptation delay, but do not prevent, climate-driven reef framework erosion of an inshore site in the Florida Keys. </w:t>
      </w:r>
      <w:r>
        <w:rPr>
          <w:rFonts w:ascii="Calibri" w:hAnsi="Calibri"/>
          <w:i/>
          <w:color w:val="334155"/>
          <w:sz w:val="21"/>
        </w:rPr>
        <w:t>Scientific Reports</w:t>
      </w:r>
      <w:r>
        <w:rPr>
          <w:rFonts w:ascii="Calibri" w:hAnsi="Calibri"/>
          <w:color w:val="334155"/>
          <w:sz w:val="21"/>
        </w:rPr>
        <w:t>, 13, 258. https://doi.org/10.1038/s41598-022-26930-4</w:t>
      </w:r>
    </w:p>
    <w:p>
      <w:pPr>
        <w:spacing w:before="40" w:after="60"/>
        <w:ind w:left="360"/>
      </w:pPr>
      <w:r>
        <w:rPr>
          <w:rFonts w:ascii="Calibri" w:hAnsi="Calibri"/>
          <w:b/>
          <w:color w:val="1E293B"/>
          <w:sz w:val="21"/>
        </w:rPr>
        <w:t xml:space="preserve">64. </w:t>
      </w:r>
      <w:r>
        <w:rPr>
          <w:rFonts w:ascii="Calibri" w:hAnsi="Calibri"/>
          <w:color w:val="334155"/>
          <w:sz w:val="21"/>
        </w:rPr>
        <w:t xml:space="preserve">Wilkinson, M. D., Dumontier, M., Aalbersberg, I. J., et al. (2016). The FAIR Guiding Principles for scientific data management and stewardship. </w:t>
      </w:r>
      <w:r>
        <w:rPr>
          <w:rFonts w:ascii="Calibri" w:hAnsi="Calibri"/>
          <w:i/>
          <w:color w:val="334155"/>
          <w:sz w:val="21"/>
        </w:rPr>
        <w:t>Scientific Data</w:t>
      </w:r>
      <w:r>
        <w:rPr>
          <w:rFonts w:ascii="Calibri" w:hAnsi="Calibri"/>
          <w:color w:val="334155"/>
          <w:sz w:val="21"/>
        </w:rPr>
        <w:t>, 3(1), 160018. https://doi.org/10.1038/sdata.2016.18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