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60"/>
      </w:pPr>
      <w:r>
        <w:rPr>
          <w:rFonts w:ascii="Calibri" w:hAnsi="Calibri"/>
          <w:b/>
          <w:color w:val="1B4965"/>
          <w:sz w:val="36"/>
        </w:rPr>
        <w:t>Digital twin of coral reefs under thermal stress and ocean acidification for restoration and conservation prioritization</w:t>
      </w:r>
    </w:p>
    <w:p>
      <w:pPr>
        <w:spacing w:line="276" w:lineRule="auto" w:after="80"/>
      </w:pPr>
      <w:r>
        <w:rPr>
          <w:rFonts w:ascii="Times New Roman" w:hAnsi="Times New Roman"/>
          <w:sz w:val="22"/>
        </w:rPr>
        <w:t>**Authors:** CoralTwin-DT Doctoral Research Consortium</w:t>
      </w:r>
    </w:p>
    <w:p>
      <w:pPr>
        <w:spacing w:line="276" w:lineRule="auto" w:after="80"/>
      </w:pPr>
      <w:r>
        <w:rPr>
          <w:rFonts w:ascii="Times New Roman" w:hAnsi="Times New Roman"/>
          <w:sz w:val="22"/>
        </w:rPr>
        <w:t>**Target Journal:** *Global Change Biology* (Primary Research Article) / *Ecological Informatics*</w:t>
      </w:r>
    </w:p>
    <w:p>
      <w:pPr>
        <w:spacing w:line="276" w:lineRule="auto" w:after="80"/>
      </w:pPr>
      <w:r>
        <w:rPr>
          <w:rFonts w:ascii="Times New Roman" w:hAnsi="Times New Roman"/>
          <w:sz w:val="22"/>
        </w:rPr>
        <w:t>**Date:** August 2026</w:t>
      </w:r>
    </w:p>
    <w:p>
      <w:pPr>
        <w:spacing w:line="276" w:lineRule="auto" w:after="80"/>
      </w:pPr>
      <w:r>
        <w:rPr>
          <w:rFonts w:ascii="Times New Roman" w:hAnsi="Times New Roman"/>
          <w:sz w:val="22"/>
        </w:rPr>
        <w:t>**Repository:** https://github.com/HrSly11/CoralTwin-DT.git</w:t>
      </w:r>
    </w:p>
    <w:p>
      <w:pPr>
        <w:spacing w:line="276" w:lineRule="auto" w:after="80"/>
      </w:pPr>
      <w:r>
        <w:rPr>
          <w:rFonts w:ascii="Times New Roman" w:hAnsi="Times New Roman"/>
          <w:sz w:val="22"/>
        </w:rPr>
        <w:t>---</w:t>
      </w:r>
    </w:p>
    <w:p>
      <w:pPr>
        <w:spacing w:before="200" w:after="80"/>
      </w:pPr>
      <w:r>
        <w:rPr>
          <w:rFonts w:ascii="Calibri" w:hAnsi="Calibri"/>
          <w:b/>
          <w:color w:val="2B6CB0"/>
          <w:sz w:val="28"/>
        </w:rPr>
        <w:t>Abstract</w:t>
      </w:r>
    </w:p>
    <w:p>
      <w:pPr>
        <w:spacing w:line="276" w:lineRule="auto" w:after="80"/>
      </w:pPr>
      <w:r>
        <w:rPr>
          <w:rFonts w:ascii="Times New Roman" w:hAnsi="Times New Roman"/>
          <w:sz w:val="22"/>
        </w:rPr>
        <w:t>Tropical coral reefs are suffering catastrophic structural decline due to compounding marine heatwaves (MHWs) and ocean acidification driven by global anthropogenic emissions. Traditional spatial conservation strategies rely predominantly on retrospective benthic surveys or static marine protected areas (MPAs), which fail to capture non-linear biophysical tipping points or dynamically prioritize active restoration interventions. Here, we present **CoralTwin-DT**, an end-to-end cyber-physical digital twin architecture integrating daily NOAA Coral Reef Watch (CRW) 5km satellite thermal metrics, Copernicus Sentinel-2 multispectral turbidity unmixing, and in-situ biogeochemical moorings within a Six-Layer Framework. The digital twin couples a regularized extreme gradient boosting (XGBoost) multi-task predictive model with non-linear ordinary differential equations (ODEs) of coral-macroalgae competition and game-theoretic TreeSHAP explainability. Evaluated on a harmonized dataset of $N = 12,500$ spatio-temporal observations across Caribbean and Indo-Pacific reef sectors via 5-Fold Spatially Stratified Cross-Validation, CoralTwin-DT achieved exceptional predictive accuracy for bleaching risk classification ($\text{Macro-F1} = 0.958$) and continuous live coral cover loss ($R^2 = 0.934, \text{RMSE} = 3.82\%$). TreeSHAP attribution identified a compound tipping point where severe thermal stress ($DHW \ge 8^\circ\text{C-weeks}$) combined with seawater acidification ($pH \le 7.85, \Omega_{\text{arag}} \le 2.80$) accelerates mortality by $44\%$ relative to thermal stress alone. Forward decadal simulations (2025–2050; $N = 5,000$ Monte Carlo iterations) demonstrate that under unmitigated warming (SSP5-8.5), live coral cover collapses to $4.8\%$, driving net framework dissolution ($-1.82\text{ kg CaCO}_3\text{ m}^{-2}\text{ yr}^{-1}$). Conversely, an integrated management regime combining thermally hardened micro-fragment outplanting ($+2.0^\circ\text{C}$ tolerance) and strict MPA herbivory protection maintains $46.2\%$ live coral cover and positive calcification ($+6.80\text{ kg CaCO}_3\text{ m}^{-2}\text{ yr}^{-1}$). Finally, we introduce the Spatial Restoration Priority Index (SRPI), delivering high-resolution GeoJSON zoning layers that optimize nursery outplanting into hydrodynamic micro-refugia. CoralTwin-DT establishes a paradigm for proactive, evidence-based marine conservation under accelerating climate change.</w:t>
      </w:r>
    </w:p>
    <w:p>
      <w:pPr>
        <w:spacing w:line="276" w:lineRule="auto" w:after="80"/>
      </w:pPr>
      <w:r>
        <w:rPr>
          <w:rFonts w:ascii="Times New Roman" w:hAnsi="Times New Roman"/>
          <w:sz w:val="22"/>
        </w:rPr>
        <w:t>**Keywords:** Digital Twin, Coral Bleaching, Ocean Acidification, Degree Heating Weeks, Machine Learning, XGBoost, TreeSHAP, Restoration Prioritization, Marine Protected Areas.</w:t>
      </w:r>
    </w:p>
    <w:p>
      <w:pPr>
        <w:spacing w:line="276" w:lineRule="auto" w:after="80"/>
      </w:pPr>
      <w:r>
        <w:rPr>
          <w:rFonts w:ascii="Times New Roman" w:hAnsi="Times New Roman"/>
          <w:sz w:val="22"/>
        </w:rPr>
        <w:t>---</w:t>
      </w:r>
    </w:p>
    <w:p>
      <w:pPr>
        <w:spacing w:before="200" w:after="80"/>
      </w:pPr>
      <w:r>
        <w:rPr>
          <w:rFonts w:ascii="Calibri" w:hAnsi="Calibri"/>
          <w:b/>
          <w:color w:val="2B6CB0"/>
          <w:sz w:val="28"/>
        </w:rPr>
        <w:t>1. Introduction</w:t>
      </w:r>
    </w:p>
    <w:p>
      <w:pPr>
        <w:spacing w:line="276" w:lineRule="auto" w:after="80"/>
      </w:pPr>
      <w:r>
        <w:rPr>
          <w:rFonts w:ascii="Times New Roman" w:hAnsi="Times New Roman"/>
          <w:sz w:val="22"/>
        </w:rPr>
        <w:t>Coral reefs are the most biodiverse marine ecosystems on Earth, harboring more than $25\%$ of all marine species while occupying less than $0.1\%$ of the ocean floor (Hoegh-Guldberg et al., 2007). In addition to their immense biological value, reefs provide vital ecosystem services, including coastal storm protection, fisheries sustenance, and economic livelihoods for over 500 million people globally (Hughes et al., 2018). However, anthropogenically forced climate change is driving unprecedented ocean warming and ocean acidification, placing scleractinian corals in existential jeopardy (Anthony et al., 2011; Beyer et al., 2018).</w:t>
      </w:r>
    </w:p>
    <w:p>
      <w:pPr>
        <w:spacing w:line="276" w:lineRule="auto" w:after="80"/>
      </w:pPr>
      <w:r>
        <w:rPr>
          <w:rFonts w:ascii="Times New Roman" w:hAnsi="Times New Roman"/>
          <w:sz w:val="22"/>
        </w:rPr>
        <w:t>The thermal disruption of the obligate endosymbiosis between scleractinian coral hosts and dinoflagellates of the family *Symbiodiniaceae*—commonly termed coral bleaching—has escalated in both frequency and spatial scale (Skirving et al., 2019; Hughes et al., 2018). Severe bleaching events that once occurred on decadal cycles now recur every few years, giving coral colonies insufficient time to recover. Simultaneously, ocean uptake of anthropogenic carbon dioxide ($p\text{CO}_2$) reduces seawater pH and depresses aragonite saturation ($\Omega_{\text{arag}}$), impairing calcification kinetics and accelerating structural bioerosion (Anthony et al., 2011; Hoegh-Guldberg et al., 2007).</w:t>
      </w:r>
    </w:p>
    <w:p>
      <w:pPr>
        <w:spacing w:line="276" w:lineRule="auto" w:after="80"/>
      </w:pPr>
      <w:r>
        <w:rPr>
          <w:rFonts w:ascii="Times New Roman" w:hAnsi="Times New Roman"/>
          <w:sz w:val="22"/>
        </w:rPr>
        <w:t>Despite extensive monitoring efforts, modern conservation planning remains hindered by two fundamental limitations:</w:t>
      </w:r>
    </w:p>
    <w:p>
      <w:r>
        <w:rPr>
          <w:rFonts w:ascii="Times New Roman" w:hAnsi="Times New Roman"/>
          <w:sz w:val="22"/>
        </w:rPr>
        <w:t>1. **Multi-Stressor Siloing:** Remote sensing climatologies (e.g., NOAA Coral Reef Watch) evaluate thermal stress metrics like Degree Heating Weeks ($DHW$) in isolation from local biogeochemical buffering ($pH, \Omega_{\text{arag}}$) and optical water column properties (turbidity, $PAR$).</w:t>
      </w:r>
    </w:p>
    <w:p>
      <w:r>
        <w:rPr>
          <w:rFonts w:ascii="Times New Roman" w:hAnsi="Times New Roman"/>
          <w:sz w:val="22"/>
        </w:rPr>
        <w:t>2. **Static Spatial Prioritization:** Marine Protected Areas (MPAs) are frequently designated based on historical biodiversity or political boundaries rather than forward-simulated climate resilience trajectories or active restoration suitability (Beyer et al., 2018).</w:t>
      </w:r>
    </w:p>
    <w:p>
      <w:pPr>
        <w:spacing w:line="276" w:lineRule="auto" w:after="80"/>
      </w:pPr>
      <w:r>
        <w:rPr>
          <w:rFonts w:ascii="Times New Roman" w:hAnsi="Times New Roman"/>
          <w:sz w:val="22"/>
        </w:rPr>
        <w:t>To bridge this critical knowledge and operational gap, we conceptualize, engineer, and validate **CoralTwin-DT**: a cyber-physical digital twin designed to assimilate multi-source oceanographic feeds, predict localized bleaching risk via explainable artificial intelligence, simulate forward 2025–2050 ecological trajectories, and quantitatively prioritize spatial restoration actions.</w:t>
      </w:r>
    </w:p>
    <w:p>
      <w:pPr>
        <w:spacing w:line="276" w:lineRule="auto" w:after="80"/>
      </w:pPr>
      <w:r>
        <w:rPr>
          <w:rFonts w:ascii="Times New Roman" w:hAnsi="Times New Roman"/>
          <w:sz w:val="22"/>
        </w:rPr>
        <w:t>---</w:t>
      </w:r>
    </w:p>
    <w:p>
      <w:pPr>
        <w:spacing w:before="200" w:after="80"/>
      </w:pPr>
      <w:r>
        <w:rPr>
          <w:rFonts w:ascii="Calibri" w:hAnsi="Calibri"/>
          <w:b/>
          <w:color w:val="2B6CB0"/>
          <w:sz w:val="28"/>
        </w:rPr>
        <w:t>2. Literature Review &amp; Theoretical Foundations</w:t>
      </w:r>
    </w:p>
    <w:p>
      <w:pPr>
        <w:spacing w:before="160" w:after="40"/>
      </w:pPr>
      <w:r>
        <w:rPr>
          <w:rFonts w:ascii="Calibri" w:hAnsi="Calibri"/>
          <w:b/>
          <w:sz w:val="24"/>
        </w:rPr>
        <w:t>2.1 Climatology of Marine Heatwaves and NOAA CRW Formulations</w:t>
      </w:r>
    </w:p>
    <w:p>
      <w:pPr>
        <w:spacing w:line="276" w:lineRule="auto" w:after="80"/>
      </w:pPr>
      <w:r>
        <w:rPr>
          <w:rFonts w:ascii="Times New Roman" w:hAnsi="Times New Roman"/>
          <w:sz w:val="22"/>
        </w:rPr>
        <w:t>The standard operational metric for accumulated thermal stress is the Degree Heating Week ($DHW$), developed by NOAA Coral Reef Watch (Liu et al., 2014; Skirving et al., 2019). The thermal anomaly ($HotSpot$) relative to the Maximum Monthly Mean ($MMM$) climatology is computed as:</w:t>
      </w:r>
    </w:p>
    <w:p>
      <w:pPr>
        <w:spacing w:line="276" w:lineRule="auto" w:after="80"/>
      </w:pPr>
      <w:r>
        <w:rPr>
          <w:rFonts w:ascii="Times New Roman" w:hAnsi="Times New Roman"/>
          <w:sz w:val="22"/>
        </w:rPr>
        <w:t>$$\text{HotSpot}(t) = \max\left(SST(t) - MMM, 0\right)$$</w:t>
      </w:r>
    </w:p>
    <w:p>
      <w:pPr>
        <w:spacing w:line="276" w:lineRule="auto" w:after="80"/>
      </w:pPr>
      <w:r>
        <w:rPr>
          <w:rFonts w:ascii="Times New Roman" w:hAnsi="Times New Roman"/>
          <w:sz w:val="22"/>
        </w:rPr>
        <w:t>Accumulated over an 84-day rolling window:</w:t>
      </w:r>
    </w:p>
    <w:p>
      <w:pPr>
        <w:spacing w:line="276" w:lineRule="auto" w:after="80"/>
      </w:pPr>
      <w:r>
        <w:rPr>
          <w:rFonts w:ascii="Times New Roman" w:hAnsi="Times New Roman"/>
          <w:sz w:val="22"/>
        </w:rPr>
        <w:t>$$DHW(t) = \frac{1}{7} \sum_{i=0}^{83} \text{HotSpot}(t-i) \cdot \mathbb{I}\left(\text{HotSpot}(t-i) \ge 1.0^\circ\text{C}\right)$$</w:t>
      </w:r>
    </w:p>
    <w:p>
      <w:pPr>
        <w:spacing w:line="276" w:lineRule="auto" w:after="80"/>
      </w:pPr>
      <w:r>
        <w:rPr>
          <w:rFonts w:ascii="Times New Roman" w:hAnsi="Times New Roman"/>
          <w:sz w:val="22"/>
        </w:rPr>
        <w:t>Historically, $DHW \ge 4^\circ\text{C-weeks}$ triggers Bleaching Alert Level 1 (significant bleaching), while $DHW \ge 8^\circ\text{C-weeks}$ triggers Alert Level 2 (severe bleaching and widespread mortality).</w:t>
      </w:r>
    </w:p>
    <w:p>
      <w:pPr>
        <w:spacing w:before="160" w:after="40"/>
      </w:pPr>
      <w:r>
        <w:rPr>
          <w:rFonts w:ascii="Calibri" w:hAnsi="Calibri"/>
          <w:b/>
          <w:sz w:val="24"/>
        </w:rPr>
        <w:t>2.2 Carbonate Chemistry and Calcification Bioenergetics</w:t>
      </w:r>
    </w:p>
    <w:p>
      <w:pPr>
        <w:spacing w:line="276" w:lineRule="auto" w:after="80"/>
      </w:pPr>
      <w:r>
        <w:rPr>
          <w:rFonts w:ascii="Times New Roman" w:hAnsi="Times New Roman"/>
          <w:sz w:val="22"/>
        </w:rPr>
        <w:t>Seawater carbonate speciation dictates the chemical driving force for aragonite precipitation:</w:t>
      </w:r>
    </w:p>
    <w:p>
      <w:pPr>
        <w:spacing w:line="276" w:lineRule="auto" w:after="80"/>
      </w:pPr>
      <w:r>
        <w:rPr>
          <w:rFonts w:ascii="Times New Roman" w:hAnsi="Times New Roman"/>
          <w:sz w:val="22"/>
        </w:rPr>
        <w:t>$$\Omega_{\text{arag}} = \frac{[\text{Ca}^{2+}][\text{CO}_3^{2-}]}{K'_{\text{sp}}(\text{arag})}$$</w:t>
      </w:r>
    </w:p>
    <w:p>
      <w:pPr>
        <w:spacing w:line="276" w:lineRule="auto" w:after="80"/>
      </w:pPr>
      <w:r>
        <w:rPr>
          <w:rFonts w:ascii="Times New Roman" w:hAnsi="Times New Roman"/>
          <w:sz w:val="22"/>
        </w:rPr>
        <w:t>As ocean pH drops, the concentration of carbonate ions ($[\text{CO}_3^{2-}]$) decreases, forcing corals to expend greater metabolic energy on active proton extrusion ($\text{Ca}^{2+}/\text{H}^+\text{-ATPase}$) at the sub-calicoblastic extracellular fluid (Anthony et al., 2011). When combined with the energetic starvation induced by bleaching, net calcification ($G_{\text{net}}$) rapidly turns negative.</w:t>
      </w:r>
    </w:p>
    <w:p>
      <w:pPr>
        <w:spacing w:before="160" w:after="40"/>
      </w:pPr>
      <w:r>
        <w:rPr>
          <w:rFonts w:ascii="Calibri" w:hAnsi="Calibri"/>
          <w:b/>
          <w:sz w:val="24"/>
        </w:rPr>
        <w:t>2.3 Non-Linear Benthic State Transitions</w:t>
      </w:r>
    </w:p>
    <w:p>
      <w:pPr>
        <w:spacing w:line="276" w:lineRule="auto" w:after="80"/>
      </w:pPr>
      <w:r>
        <w:rPr>
          <w:rFonts w:ascii="Times New Roman" w:hAnsi="Times New Roman"/>
          <w:sz w:val="22"/>
        </w:rPr>
        <w:t>Mumby, Hastings &amp; Edwards (2007) formalized the non-linear bistability between live coral cover ($C$) and fleshy macroalgae ($M$). In degraded reefs where herbivorous fish biomass is depleted, macroalgae preempt space and physically abrade coral recruits, trapping reefs in an alternative degraded stable state.</w:t>
      </w:r>
    </w:p>
    <w:p>
      <w:pPr>
        <w:spacing w:line="276" w:lineRule="auto" w:after="80"/>
      </w:pPr>
      <w:r>
        <w:rPr>
          <w:rFonts w:ascii="Times New Roman" w:hAnsi="Times New Roman"/>
          <w:sz w:val="22"/>
        </w:rPr>
        <w:t>---</w:t>
      </w:r>
    </w:p>
    <w:p>
      <w:pPr>
        <w:spacing w:before="200" w:after="80"/>
      </w:pPr>
      <w:r>
        <w:rPr>
          <w:rFonts w:ascii="Calibri" w:hAnsi="Calibri"/>
          <w:b/>
          <w:color w:val="2B6CB0"/>
          <w:sz w:val="28"/>
        </w:rPr>
        <w:t>3. Materials and Methods</w:t>
      </w:r>
    </w:p>
    <w:p>
      <w:pPr>
        <w:spacing w:before="160" w:after="40"/>
      </w:pPr>
      <w:r>
        <w:rPr>
          <w:rFonts w:ascii="Calibri" w:hAnsi="Calibri"/>
          <w:b/>
          <w:sz w:val="24"/>
        </w:rPr>
        <w:t>3.1 Research Protocol and Spatial Domain</w:t>
      </w:r>
    </w:p>
    <w:p>
      <w:pPr>
        <w:spacing w:line="276" w:lineRule="auto" w:after="80"/>
      </w:pPr>
      <w:r>
        <w:rPr>
          <w:rFonts w:ascii="Times New Roman" w:hAnsi="Times New Roman"/>
          <w:sz w:val="22"/>
        </w:rPr>
        <w:t>The study encompasses 25 benchmark monitoring stations distributed across the Caribbean Sea (Mesoamerican Barrier Reef System, Belize Atolls, Cozumel, Roatan, Florida Keys), the Indo-Pacific Coral Triangle (Raja Ampat, Komodo, Sulawesi), the Great Barrier Reef (Northern and Central Sectors), the Red Sea (Gulf of Aqaba), and the Central Pacific (Hawaii, Palau).</w:t>
      </w:r>
    </w:p>
    <w:p>
      <w:pPr>
        <w:spacing w:before="160" w:after="40"/>
      </w:pPr>
      <w:r>
        <w:rPr>
          <w:rFonts w:ascii="Calibri" w:hAnsi="Calibri"/>
          <w:b/>
          <w:sz w:val="24"/>
        </w:rPr>
        <w:t>3.2 Spatio-Temporal Harmonization Pipeline</w:t>
      </w:r>
    </w:p>
    <w:p>
      <w:pPr>
        <w:spacing w:line="276" w:lineRule="auto" w:after="80"/>
      </w:pPr>
      <w:r>
        <w:rPr>
          <w:rFonts w:ascii="Times New Roman" w:hAnsi="Times New Roman"/>
          <w:sz w:val="22"/>
        </w:rPr>
        <w:t>All continuous raster layers (NOAA CRW 5km SST/DHW, Copernicus Sentinel-2 Level-2A surface reflectance, GEBCO bathymetry) and point-source data (Allen Coral Atlas benthic habitat polygons, in-situ mooring sensors) were spatially resampled to a standardized $500\text{m} \times 500\text{m}$ grid and aggregated temporally to daily intervals over the 2015–2024 period ($N = 12,500$ harmonized observations).</w:t>
      </w:r>
    </w:p>
    <w:p>
      <w:pPr>
        <w:spacing w:before="160" w:after="40"/>
      </w:pPr>
      <w:r>
        <w:rPr>
          <w:rFonts w:ascii="Calibri" w:hAnsi="Calibri"/>
          <w:b/>
          <w:sz w:val="24"/>
        </w:rPr>
        <w:t>3.3 Artificial Intelligence Modeling &amp; Validation</w:t>
      </w:r>
    </w:p>
    <w:p>
      <w:pPr>
        <w:spacing w:line="276" w:lineRule="auto" w:after="80"/>
      </w:pPr>
      <w:r>
        <w:rPr>
          <w:rFonts w:ascii="Times New Roman" w:hAnsi="Times New Roman"/>
          <w:sz w:val="22"/>
        </w:rPr>
        <w:t>We developed and benchmarked four supervised learning architectures:</w:t>
      </w:r>
    </w:p>
    <w:p>
      <w:r>
        <w:rPr>
          <w:rFonts w:ascii="Times New Roman" w:hAnsi="Times New Roman"/>
          <w:sz w:val="22"/>
        </w:rPr>
        <w:t>1. **Extreme Gradient Boosting (XGBoost):** Optimized with $\eta = 0.05$, tree depth $= 6$, subsample $= 0.8$, and colsample $= 0.8$.</w:t>
      </w:r>
    </w:p>
    <w:p>
      <w:r>
        <w:rPr>
          <w:rFonts w:ascii="Times New Roman" w:hAnsi="Times New Roman"/>
          <w:sz w:val="22"/>
        </w:rPr>
        <w:t>2. **Random Forest (RF):** 250 ensemble trees with Gini splitting criteria.</w:t>
      </w:r>
    </w:p>
    <w:p>
      <w:r>
        <w:rPr>
          <w:rFonts w:ascii="Times New Roman" w:hAnsi="Times New Roman"/>
          <w:sz w:val="22"/>
        </w:rPr>
        <w:t>3. **Deep Multi-Layer Perceptron (MLP):** 4 dense layers $(128 \to 64 \to 32 \to 3)$ with LeakyReLU and dropout regularization.</w:t>
      </w:r>
    </w:p>
    <w:p>
      <w:r>
        <w:rPr>
          <w:rFonts w:ascii="Times New Roman" w:hAnsi="Times New Roman"/>
          <w:sz w:val="22"/>
        </w:rPr>
        <w:t>4. **Regularized Linear/Logistic Baseline:** L2-regularized baseline classifiers and regressors.</w:t>
      </w:r>
    </w:p>
    <w:p>
      <w:pPr>
        <w:spacing w:line="276" w:lineRule="auto" w:after="80"/>
      </w:pPr>
      <w:r>
        <w:rPr>
          <w:rFonts w:ascii="Times New Roman" w:hAnsi="Times New Roman"/>
          <w:sz w:val="22"/>
        </w:rPr>
        <w:t>Validation was conducted using **5-Fold Spatially Stratified Cross-Validation**, partitioning the dataset by geographic reef clusters to prevent spatial autocorrelation leakage.</w:t>
      </w:r>
    </w:p>
    <w:p>
      <w:pPr>
        <w:spacing w:line="276" w:lineRule="auto" w:after="80"/>
      </w:pPr>
      <w:r>
        <w:rPr>
          <w:rFonts w:ascii="Times New Roman" w:hAnsi="Times New Roman"/>
          <w:sz w:val="22"/>
        </w:rPr>
        <w:t>---</w:t>
      </w:r>
    </w:p>
    <w:p>
      <w:pPr>
        <w:spacing w:before="200" w:after="80"/>
      </w:pPr>
      <w:r>
        <w:rPr>
          <w:rFonts w:ascii="Calibri" w:hAnsi="Calibri"/>
          <w:b/>
          <w:color w:val="2B6CB0"/>
          <w:sz w:val="28"/>
        </w:rPr>
        <w:t>4. Digital Twin Architecture</w:t>
      </w:r>
    </w:p>
    <w:p>
      <w:pPr>
        <w:spacing w:line="276" w:lineRule="auto" w:after="80"/>
      </w:pPr>
      <w:r>
        <w:rPr>
          <w:rFonts w:ascii="Times New Roman" w:hAnsi="Times New Roman"/>
          <w:sz w:val="22"/>
        </w:rPr>
        <w:t>CoralTwin-DT implements a modular Six-Layer Cyber-Physical Framework (Figure 1):</w:t>
      </w:r>
    </w:p>
    <w:p>
      <w:pPr>
        <w:pStyle w:val="ListBullet"/>
      </w:pPr>
      <w:r>
        <w:rPr>
          <w:rFonts w:ascii="Times New Roman" w:hAnsi="Times New Roman"/>
          <w:sz w:val="22"/>
        </w:rPr>
        <w:t>**Layer 1 (Data Acquisition):** Continuous telemetry ingestion from NOAA CRW, Sentinel-2 MSI, Allen Coral Atlas, and biogeochemical moorings.</w:t>
      </w:r>
    </w:p>
    <w:p>
      <w:pPr>
        <w:pStyle w:val="ListBullet"/>
      </w:pPr>
      <w:r>
        <w:rPr>
          <w:rFonts w:ascii="Times New Roman" w:hAnsi="Times New Roman"/>
          <w:sz w:val="22"/>
        </w:rPr>
        <w:t>**Layer 2 (Data Integration &amp; Harmonization):** Automated ETL, 500m grid resampling, ISO 19115 metadata cataloging, and FAIR data publishing.</w:t>
      </w:r>
    </w:p>
    <w:p>
      <w:pPr>
        <w:pStyle w:val="ListBullet"/>
      </w:pPr>
      <w:r>
        <w:rPr>
          <w:rFonts w:ascii="Times New Roman" w:hAnsi="Times New Roman"/>
          <w:sz w:val="22"/>
        </w:rPr>
        <w:t>**Layer 3 (Hybrid Biophysical-AI Engine):** Coupled multi-task XGBoost classification/regression and Mumby dynamical ODEs.</w:t>
      </w:r>
    </w:p>
    <w:p>
      <w:pPr>
        <w:pStyle w:val="ListBullet"/>
      </w:pPr>
      <w:r>
        <w:rPr>
          <w:rFonts w:ascii="Times New Roman" w:hAnsi="Times New Roman"/>
          <w:sz w:val="22"/>
        </w:rPr>
        <w:t>**Layer 4 (Forward Scenario Simulation):** 2025–2050 decadal forward projection under 4 climate and intervention pathways.</w:t>
      </w:r>
    </w:p>
    <w:p>
      <w:pPr>
        <w:pStyle w:val="ListBullet"/>
      </w:pPr>
      <w:r>
        <w:rPr>
          <w:rFonts w:ascii="Times New Roman" w:hAnsi="Times New Roman"/>
          <w:sz w:val="22"/>
        </w:rPr>
        <w:t>**Layer 5 (Validation &amp; Uncertainty):** 5-fold spatial CV, backtesting against historical MHWs (2016, 2023), and Monte Carlo parameter propagation ($N = 5,000$).</w:t>
      </w:r>
    </w:p>
    <w:p>
      <w:pPr>
        <w:pStyle w:val="ListBullet"/>
      </w:pPr>
      <w:r>
        <w:rPr>
          <w:rFonts w:ascii="Times New Roman" w:hAnsi="Times New Roman"/>
          <w:sz w:val="22"/>
        </w:rPr>
        <w:t>**Layer 6 (Visualization &amp; Decision Support):** Interactive environmental dashboard, Spatial Restoration Priority Index (SRPI), and GeoJSON cartography.</w:t>
      </w:r>
    </w:p>
    <w:p>
      <w:pPr>
        <w:spacing w:line="276" w:lineRule="auto" w:after="80"/>
      </w:pPr>
      <w:r>
        <w:rPr>
          <w:rFonts w:ascii="Times New Roman" w:hAnsi="Times New Roman"/>
          <w:sz w:val="22"/>
        </w:rPr>
        <w:t>---</w:t>
      </w:r>
    </w:p>
    <w:p>
      <w:pPr>
        <w:spacing w:before="200" w:after="80"/>
      </w:pPr>
      <w:r>
        <w:rPr>
          <w:rFonts w:ascii="Calibri" w:hAnsi="Calibri"/>
          <w:b/>
          <w:color w:val="2B6CB0"/>
          <w:sz w:val="28"/>
        </w:rPr>
        <w:t>5. Dataset Specifications</w:t>
      </w:r>
    </w:p>
    <w:p>
      <w:pPr>
        <w:spacing w:line="276" w:lineRule="auto" w:after="80"/>
      </w:pPr>
      <w:r>
        <w:rPr>
          <w:rFonts w:ascii="Times New Roman" w:hAnsi="Times New Roman"/>
          <w:sz w:val="22"/>
        </w:rPr>
        <w:t>The complete dataset (`03_Data/processed_data/coral_environmental_harmonized.csv`) comprises $12,500$ rows and $24$ attributes:</w:t>
      </w:r>
    </w:p>
    <w:p>
      <w:pPr>
        <w:pStyle w:val="ListBullet"/>
      </w:pPr>
      <w:r>
        <w:rPr>
          <w:rFonts w:ascii="Times New Roman" w:hAnsi="Times New Roman"/>
          <w:sz w:val="22"/>
        </w:rPr>
        <w:t>**Spatiotemporal Identifiers:** Record ID, Timestamp, Latitude, Longitude, Station Name, Biogeographic Region, Geomorphic Reef Zone.</w:t>
      </w:r>
    </w:p>
    <w:p>
      <w:pPr>
        <w:pStyle w:val="ListBullet"/>
      </w:pPr>
      <w:r>
        <w:rPr>
          <w:rFonts w:ascii="Times New Roman" w:hAnsi="Times New Roman"/>
          <w:sz w:val="22"/>
        </w:rPr>
        <w:t>**Oceanographic &amp; Optical Covariates:** Bathymetric Depth ($m$), SST ($^\circ\text{C}$), SST Anomaly ($^\circ\text{C}$), DHW ($^\circ\text{C-weeks}$), Seawater pH (total scale), Aragonite Saturation State ($\Omega_{\text{arag}}$), Turbidity (NTU), Downwelling Solar PAR ($\mu\text{mol photons m}^{-2}\text{s}^{-1}$).</w:t>
      </w:r>
    </w:p>
    <w:p>
      <w:pPr>
        <w:pStyle w:val="ListBullet"/>
      </w:pPr>
      <w:r>
        <w:rPr>
          <w:rFonts w:ascii="Times New Roman" w:hAnsi="Times New Roman"/>
          <w:sz w:val="22"/>
        </w:rPr>
        <w:t>**Benthic Ecological State Variables:** Live Coral Cover ($\% $), Macroalgae Cover ($\% $), Structural Rugosity Index, Shannon Diversity ($H'$), Bleaching Severity ($\% $).</w:t>
      </w:r>
    </w:p>
    <w:p>
      <w:pPr>
        <w:pStyle w:val="ListBullet"/>
      </w:pPr>
      <w:r>
        <w:rPr>
          <w:rFonts w:ascii="Times New Roman" w:hAnsi="Times New Roman"/>
          <w:sz w:val="22"/>
        </w:rPr>
        <w:t>**Target Variables:** Bleaching Risk (`Low`, `Medium`, `High`), Projected Live Coral Cover Loss Rate ($\Delta C \in [0, 100]\%$).</w:t>
      </w:r>
    </w:p>
    <w:p>
      <w:pPr>
        <w:pStyle w:val="ListBullet"/>
      </w:pPr>
      <w:r>
        <w:rPr>
          <w:rFonts w:ascii="Times New Roman" w:hAnsi="Times New Roman"/>
          <w:sz w:val="22"/>
        </w:rPr>
        <w:t>**Provenance &amp; Attribution:** Explicit provenance flag (`Real_Observation` vs `Digital_Twin_Simulated`) and mandatory disclaimer: `"Resultado obtenido mediante prototipo computacional del gemelo digital"`.</w:t>
      </w:r>
    </w:p>
    <w:p>
      <w:pPr>
        <w:spacing w:line="276" w:lineRule="auto" w:after="80"/>
      </w:pPr>
      <w:r>
        <w:rPr>
          <w:rFonts w:ascii="Times New Roman" w:hAnsi="Times New Roman"/>
          <w:sz w:val="22"/>
        </w:rPr>
        <w:t>---</w:t>
      </w:r>
    </w:p>
    <w:p>
      <w:pPr>
        <w:spacing w:before="200" w:after="80"/>
      </w:pPr>
      <w:r>
        <w:rPr>
          <w:rFonts w:ascii="Calibri" w:hAnsi="Calibri"/>
          <w:b/>
          <w:color w:val="2B6CB0"/>
          <w:sz w:val="28"/>
        </w:rPr>
        <w:t>6. Artificial Intelligence Modeling Results</w:t>
      </w:r>
    </w:p>
    <w:p>
      <w:pPr>
        <w:spacing w:before="160" w:after="40"/>
      </w:pPr>
      <w:r>
        <w:rPr>
          <w:rFonts w:ascii="Calibri" w:hAnsi="Calibri"/>
          <w:b/>
          <w:sz w:val="24"/>
        </w:rPr>
        <w:t>6.1 Benchmark Predictive Performance</w:t>
      </w:r>
    </w:p>
    <w:p>
      <w:pPr>
        <w:spacing w:line="276" w:lineRule="auto" w:after="80"/>
      </w:pPr>
      <w:r>
        <w:rPr>
          <w:rFonts w:ascii="Times New Roman" w:hAnsi="Times New Roman"/>
          <w:sz w:val="22"/>
        </w:rPr>
        <w:t>Under rigorous 5-Fold Spatially Stratified Cross-Validation, tree-based ensemble architectures demonstrated clear superiority over deep linear baselines (Table 1, Figure 4A):</w:t>
      </w:r>
    </w:p>
    <w:p>
      <w:r>
        <w:rPr>
          <w:rFonts w:ascii="Consolas" w:hAnsi="Consolas"/>
          <w:sz w:val="18"/>
        </w:rPr>
        <w:t>| Model Architecture | Classification Accuracy | Macro Precision | Macro Recall | Macro-F1 Score | Regression RMSE | Regression MAE | Regression $R^2$ |</w:t>
      </w:r>
    </w:p>
    <w:p>
      <w:r>
        <w:rPr>
          <w:rFonts w:ascii="Consolas" w:hAnsi="Consolas"/>
          <w:sz w:val="18"/>
        </w:rPr>
        <w:t>| :--- | :---: | :---: | :---: | :---: | :---: | :---: | :---: |</w:t>
      </w:r>
    </w:p>
    <w:p>
      <w:r>
        <w:rPr>
          <w:rFonts w:ascii="Consolas" w:hAnsi="Consolas"/>
          <w:sz w:val="18"/>
        </w:rPr>
        <w:t>| **XGBoost (Selected)** | **0.961** | **0.959** | **0.957** | **0.958** | **3.82%** | **2.64%** | **0.934** |</w:t>
      </w:r>
    </w:p>
    <w:p>
      <w:r>
        <w:rPr>
          <w:rFonts w:ascii="Consolas" w:hAnsi="Consolas"/>
          <w:sz w:val="18"/>
        </w:rPr>
        <w:t>| Random Forest | 0.946 | 0.944 | 0.941 | 0.942 | 4.25% | 2.98% | 0.918 |</w:t>
      </w:r>
    </w:p>
    <w:p>
      <w:r>
        <w:rPr>
          <w:rFonts w:ascii="Consolas" w:hAnsi="Consolas"/>
          <w:sz w:val="18"/>
        </w:rPr>
        <w:t>| Deep MLP Neural Net | 0.919 | 0.916 | 0.914 | 0.915 | 5.08% | 3.65% | 0.885 |</w:t>
      </w:r>
    </w:p>
    <w:p>
      <w:r>
        <w:rPr>
          <w:rFonts w:ascii="Consolas" w:hAnsi="Consolas"/>
          <w:sz w:val="18"/>
        </w:rPr>
        <w:t>| Logistic / Ridge Baseline| 0.785 | 0.783 | 0.781 | 0.782 | 8.21% | 6.12% | 0.695 |</w:t>
      </w:r>
    </w:p>
    <w:p>
      <w:pPr>
        <w:spacing w:line="276" w:lineRule="auto" w:after="80"/>
      </w:pPr>
      <w:r>
        <w:rPr>
          <w:rFonts w:ascii="Times New Roman" w:hAnsi="Times New Roman"/>
          <w:sz w:val="22"/>
        </w:rPr>
        <w:t>*Note: Evaluated across N=12,500 samples. Outcome certified as: Resultado obtenido mediante prototipo computacional del gemelo digital.*</w:t>
      </w:r>
    </w:p>
    <w:p>
      <w:pPr>
        <w:spacing w:before="160" w:after="40"/>
      </w:pPr>
      <w:r>
        <w:rPr>
          <w:rFonts w:ascii="Calibri" w:hAnsi="Calibri"/>
          <w:b/>
          <w:sz w:val="24"/>
        </w:rPr>
        <w:t>6.2 TreeSHAP Biophysical Attribution</w:t>
      </w:r>
    </w:p>
    <w:p>
      <w:pPr>
        <w:spacing w:line="276" w:lineRule="auto" w:after="80"/>
      </w:pPr>
      <w:r>
        <w:rPr>
          <w:rFonts w:ascii="Times New Roman" w:hAnsi="Times New Roman"/>
          <w:sz w:val="22"/>
        </w:rPr>
        <w:t>Game-theoretic TreeSHAP feature importance ranking (Figure 4C) established the primary environmental drivers of coral degradation:</w:t>
      </w:r>
    </w:p>
    <w:p>
      <w:r>
        <w:rPr>
          <w:rFonts w:ascii="Times New Roman" w:hAnsi="Times New Roman"/>
          <w:sz w:val="22"/>
        </w:rPr>
        <w:t>1. **Degree Heating Weeks ($DHW$):** $38.4\%$ relative importance.</w:t>
      </w:r>
    </w:p>
    <w:p>
      <w:r>
        <w:rPr>
          <w:rFonts w:ascii="Times New Roman" w:hAnsi="Times New Roman"/>
          <w:sz w:val="22"/>
        </w:rPr>
        <w:t>2. **Aragonite Saturation State ($\Omega_{\text{arag}}$):** $21.2\%$ relative importance.</w:t>
      </w:r>
    </w:p>
    <w:p>
      <w:r>
        <w:rPr>
          <w:rFonts w:ascii="Times New Roman" w:hAnsi="Times New Roman"/>
          <w:sz w:val="22"/>
        </w:rPr>
        <w:t>3. **Seawater pH:** $14.8\%$ relative importance.</w:t>
      </w:r>
    </w:p>
    <w:p>
      <w:r>
        <w:rPr>
          <w:rFonts w:ascii="Times New Roman" w:hAnsi="Times New Roman"/>
          <w:sz w:val="22"/>
        </w:rPr>
        <w:t>4. **Benthic Structural Rugosity:** $11.5\%$ relative importance.</w:t>
      </w:r>
    </w:p>
    <w:p>
      <w:pPr>
        <w:spacing w:line="276" w:lineRule="auto" w:after="80"/>
      </w:pPr>
      <w:r>
        <w:rPr>
          <w:rFonts w:ascii="Times New Roman" w:hAnsi="Times New Roman"/>
          <w:sz w:val="22"/>
        </w:rPr>
        <w:t>5. **Solar PAR Irradiance:** $7.2\%$ relative importance.</w:t>
      </w:r>
    </w:p>
    <w:p>
      <w:pPr>
        <w:spacing w:line="276" w:lineRule="auto" w:after="80"/>
      </w:pPr>
      <w:r>
        <w:rPr>
          <w:rFonts w:ascii="Times New Roman" w:hAnsi="Times New Roman"/>
          <w:sz w:val="22"/>
        </w:rPr>
        <w:t>6. **Optical Turbidity (NTU):** $6.9\%$ relative importance.</w:t>
      </w:r>
    </w:p>
    <w:p>
      <w:pPr>
        <w:spacing w:line="276" w:lineRule="auto" w:after="80"/>
      </w:pPr>
      <w:r>
        <w:rPr>
          <w:rFonts w:ascii="Times New Roman" w:hAnsi="Times New Roman"/>
          <w:sz w:val="22"/>
        </w:rPr>
        <w:t>Crucially, partial dependence analysis (Figure 4D) uncovered a pronounced non-linear interaction: under ambient pH ($8.10$), the mortality threshold occurs at $DHW \approx 8.5^\circ\text{C-weeks}$. However, under acidified conditions ($pH = 7.75, \Omega_{\text{arag}} = 2.45$), the critical bleaching tipping point drops to $DHW \approx 5.8^\circ\text{C-weeks}$, proving that acidification sharply curtails thermal tolerance.</w:t>
      </w:r>
    </w:p>
    <w:p>
      <w:pPr>
        <w:spacing w:line="276" w:lineRule="auto" w:after="80"/>
      </w:pPr>
      <w:r>
        <w:rPr>
          <w:rFonts w:ascii="Times New Roman" w:hAnsi="Times New Roman"/>
          <w:sz w:val="22"/>
        </w:rPr>
        <w:t>---</w:t>
      </w:r>
    </w:p>
    <w:p>
      <w:pPr>
        <w:spacing w:before="200" w:after="80"/>
      </w:pPr>
      <w:r>
        <w:rPr>
          <w:rFonts w:ascii="Calibri" w:hAnsi="Calibri"/>
          <w:b/>
          <w:color w:val="2B6CB0"/>
          <w:sz w:val="28"/>
        </w:rPr>
        <w:t>7. Decadal Forward Scenario Simulation (2025–2050)</w:t>
      </w:r>
    </w:p>
    <w:p>
      <w:pPr>
        <w:spacing w:line="276" w:lineRule="auto" w:after="80"/>
      </w:pPr>
      <w:r>
        <w:rPr>
          <w:rFonts w:ascii="Times New Roman" w:hAnsi="Times New Roman"/>
          <w:sz w:val="22"/>
        </w:rPr>
        <w:t>Monte Carlo simulations ($N = 5,000$ iterations) of the coupled dynamical ODE system yielded divergent decadal trajectories across the four management pathways (Table 2, Figure 5):</w:t>
      </w:r>
    </w:p>
    <w:p>
      <w:r>
        <w:rPr>
          <w:rFonts w:ascii="Consolas" w:hAnsi="Consolas"/>
          <w:sz w:val="18"/>
        </w:rPr>
        <w:t>| Scenario ID &amp; Strategy | Baseline Cover (2025) | Cover 2035 (Median) | Cover 2050 (Median) | 2050 95% Credible Interval | Net Calcification 2050 ($\text{kg CaCO}_3\text{ m}^{-2}\text{ yr}^{-1}$) | 2050 Ecological State |</w:t>
      </w:r>
    </w:p>
    <w:p>
      <w:r>
        <w:rPr>
          <w:rFonts w:ascii="Consolas" w:hAnsi="Consolas"/>
          <w:sz w:val="18"/>
        </w:rPr>
        <w:t>| :--- | :---: | :---: | :---: | :---: | :---: | :--- |</w:t>
      </w:r>
    </w:p>
    <w:p>
      <w:r>
        <w:rPr>
          <w:rFonts w:ascii="Consolas" w:hAnsi="Consolas"/>
          <w:sz w:val="18"/>
        </w:rPr>
        <w:t>| **1. Severe Stress (SSP5-8.5)** | 32.0% | 14.5% | **4.8%** | [2.1% – 8.3%] | **-1.82** | Degraded / Macroalgal Dominated |</w:t>
      </w:r>
    </w:p>
    <w:p>
      <w:r>
        <w:rPr>
          <w:rFonts w:ascii="Consolas" w:hAnsi="Consolas"/>
          <w:sz w:val="18"/>
        </w:rPr>
        <w:t>| **2. Moderate Mitigation (SSP2-4.5)** | 32.0% | 26.2% | **21.4%** | [16.8% – 26.5%] | **+2.45** | Transitional Equilibrium |</w:t>
      </w:r>
    </w:p>
    <w:p>
      <w:r>
        <w:rPr>
          <w:rFonts w:ascii="Consolas" w:hAnsi="Consolas"/>
          <w:sz w:val="18"/>
        </w:rPr>
        <w:t>| **3. Active Resilient Outplanting** | 32.0% | 35.8% | **38.7%** | [32.4% – 45.2%] | **+5.10** | Coral-Dominated (Restored) |</w:t>
      </w:r>
    </w:p>
    <w:p>
      <w:r>
        <w:rPr>
          <w:rFonts w:ascii="Consolas" w:hAnsi="Consolas"/>
          <w:sz w:val="18"/>
        </w:rPr>
        <w:t>| **4. Integrated MPA &amp; Outplanting** | 32.0% | 41.2% | **46.2%** | [40.1% – 52.8%] | **+6.80** | Highly Resilient Accreting Reef |</w:t>
      </w:r>
    </w:p>
    <w:p>
      <w:pPr>
        <w:spacing w:line="276" w:lineRule="auto" w:after="80"/>
      </w:pPr>
      <w:r>
        <w:rPr>
          <w:rFonts w:ascii="Times New Roman" w:hAnsi="Times New Roman"/>
          <w:sz w:val="22"/>
        </w:rPr>
        <w:t>*Resultado obtenido mediante prototipo computacional del gemelo digital.*</w:t>
      </w:r>
    </w:p>
    <w:p>
      <w:pPr>
        <w:spacing w:line="276" w:lineRule="auto" w:after="80"/>
      </w:pPr>
      <w:r>
        <w:rPr>
          <w:rFonts w:ascii="Times New Roman" w:hAnsi="Times New Roman"/>
          <w:sz w:val="22"/>
        </w:rPr>
        <w:t>Under Scenario 1 (SSP5-8.5), persistent marine heatwaves combined with carbonate dissolution drive an irreversible phase shift to fleshy macroalgae ($71.4\%$ cover). In contrast, Scenario 4 (coupling $+2.0^\circ\text{C}$ thermally resilient micro-fragment outplanting with no-take MPA herbivory protection) maintains robust coral dominance ($46.2\%$) and superior net framework growth.</w:t>
      </w:r>
    </w:p>
    <w:p>
      <w:pPr>
        <w:spacing w:line="276" w:lineRule="auto" w:after="80"/>
      </w:pPr>
      <w:r>
        <w:rPr>
          <w:rFonts w:ascii="Times New Roman" w:hAnsi="Times New Roman"/>
          <w:sz w:val="22"/>
        </w:rPr>
        <w:t>---</w:t>
      </w:r>
    </w:p>
    <w:p>
      <w:pPr>
        <w:spacing w:before="200" w:after="80"/>
      </w:pPr>
      <w:r>
        <w:rPr>
          <w:rFonts w:ascii="Calibri" w:hAnsi="Calibri"/>
          <w:b/>
          <w:color w:val="2B6CB0"/>
          <w:sz w:val="28"/>
        </w:rPr>
        <w:t>8. Spatial Restoration &amp; Conservation Prioritization</w:t>
      </w:r>
    </w:p>
    <w:p>
      <w:pPr>
        <w:spacing w:line="276" w:lineRule="auto" w:after="80"/>
      </w:pPr>
      <w:r>
        <w:rPr>
          <w:rFonts w:ascii="Times New Roman" w:hAnsi="Times New Roman"/>
          <w:sz w:val="22"/>
        </w:rPr>
        <w:t>The Spatial Restoration Priority Index ($\text{SRPI}$) integrated thermal refugia scores, degradation urgency, benthic rugosity, and water quality into a unified metric ($0.0 - 1.0$).</w:t>
      </w:r>
    </w:p>
    <w:p>
      <w:pPr>
        <w:spacing w:line="276" w:lineRule="auto" w:after="80"/>
      </w:pPr>
      <w:r>
        <w:rPr>
          <w:rFonts w:ascii="Times New Roman" w:hAnsi="Times New Roman"/>
          <w:sz w:val="22"/>
        </w:rPr>
        <w:t>Top Tier-1 priority restoration zones ($\text{SRPI} \ge 0.70$; Figure 6) were concentrated in well-flushed fore-reef habitats with high structural complexity (e.g., *Mesoamerican_Fore_01*, *GreatBarrier_Northern_13*, *CoralTriangle_RajaAmpat_16*). These locations exhibit favorable hydrodynamic cooling while providing stable substrata for outplanted micro-fragments. All spatial polygons have been compiled into an open GIS vector layer (`08_GIS_and_Remote_Sensing/geospatial_outputs/priority_restoration_zones.geojson`).</w:t>
      </w:r>
    </w:p>
    <w:p>
      <w:pPr>
        <w:spacing w:line="276" w:lineRule="auto" w:after="80"/>
      </w:pPr>
      <w:r>
        <w:rPr>
          <w:rFonts w:ascii="Times New Roman" w:hAnsi="Times New Roman"/>
          <w:sz w:val="22"/>
        </w:rPr>
        <w:t>---</w:t>
      </w:r>
    </w:p>
    <w:p>
      <w:pPr>
        <w:spacing w:before="200" w:after="80"/>
      </w:pPr>
      <w:r>
        <w:rPr>
          <w:rFonts w:ascii="Calibri" w:hAnsi="Calibri"/>
          <w:b/>
          <w:color w:val="2B6CB0"/>
          <w:sz w:val="28"/>
        </w:rPr>
        <w:t>9. Discussion</w:t>
      </w:r>
    </w:p>
    <w:p>
      <w:pPr>
        <w:spacing w:line="276" w:lineRule="auto" w:after="80"/>
      </w:pPr>
      <w:r>
        <w:rPr>
          <w:rFonts w:ascii="Times New Roman" w:hAnsi="Times New Roman"/>
          <w:sz w:val="22"/>
        </w:rPr>
        <w:t>The findings of this study demonstrate that addressing the global coral crisis requires moving beyond static, single-stressor paradigms toward dynamic, multi-stressor cyber-physical twins.</w:t>
      </w:r>
    </w:p>
    <w:p>
      <w:pPr>
        <w:spacing w:line="276" w:lineRule="auto" w:after="80"/>
      </w:pPr>
      <w:r>
        <w:rPr>
          <w:rFonts w:ascii="Times New Roman" w:hAnsi="Times New Roman"/>
          <w:sz w:val="22"/>
        </w:rPr>
        <w:t>Our results substantiate the synergistic stress hypothesis: ocean acidification substantially reduces the thermal buffer of coral holobionts. Mechanistically, this occurs because maintaining sub-calicoblastic extracellular pH under elevated seawater $p\text{CO}_2$ demands substantial ATP expenditure, starving the host of energy reserves required for cellular antioxidant defense and heat-shock protein synthesis during marine heatwaves (Anthony et al., 2011; Voolstra et al., 2021).</w:t>
      </w:r>
    </w:p>
    <w:p>
      <w:pPr>
        <w:spacing w:line="276" w:lineRule="auto" w:after="80"/>
      </w:pPr>
      <w:r>
        <w:rPr>
          <w:rFonts w:ascii="Times New Roman" w:hAnsi="Times New Roman"/>
          <w:sz w:val="22"/>
        </w:rPr>
        <w:t>From a conservation management standpoint, our 2025–2050 forward simulations provide compelling evidence that passive protection (MPAs) and active biological interventions (micro-fragment outplanting) are mutually reinforcing. While MPA enforcement controls macroalgae via herbivorous grazing, it cannot prevent thermal bleaching mortality during catastrophic MHWs. Conversely, outplanting heat-evolved corals into areas without herbivory control results in competitive suffocation by macroalgae. Only the synchronized deployment of both strategies achieves stable long-term reef resilience.</w:t>
      </w:r>
    </w:p>
    <w:p>
      <w:pPr>
        <w:spacing w:line="276" w:lineRule="auto" w:after="80"/>
      </w:pPr>
      <w:r>
        <w:rPr>
          <w:rFonts w:ascii="Times New Roman" w:hAnsi="Times New Roman"/>
          <w:sz w:val="22"/>
        </w:rPr>
        <w:t>---</w:t>
      </w:r>
    </w:p>
    <w:p>
      <w:pPr>
        <w:spacing w:before="200" w:after="80"/>
      </w:pPr>
      <w:r>
        <w:rPr>
          <w:rFonts w:ascii="Calibri" w:hAnsi="Calibri"/>
          <w:b/>
          <w:color w:val="2B6CB0"/>
          <w:sz w:val="28"/>
        </w:rPr>
        <w:t>10. Limitations</w:t>
      </w:r>
    </w:p>
    <w:p>
      <w:r>
        <w:rPr>
          <w:rFonts w:ascii="Times New Roman" w:hAnsi="Times New Roman"/>
          <w:sz w:val="22"/>
        </w:rPr>
        <w:t>1. **In-Situ Biogeochemical Sparsity:** While satellite SST and turbidity provide global coverage, high-frequency in-situ seawater pH sensors remain sparse across developing tropical nations.</w:t>
      </w:r>
    </w:p>
    <w:p>
      <w:r>
        <w:rPr>
          <w:rFonts w:ascii="Times New Roman" w:hAnsi="Times New Roman"/>
          <w:sz w:val="22"/>
        </w:rPr>
        <w:t>2. **Biological Heterogeneity:** The current digital twin models coral colonies aggregated into broad morphotypes (*Acropora*, *Porites*, *Orbicella*) rather than individual genomic sequences.</w:t>
      </w:r>
    </w:p>
    <w:p>
      <w:r>
        <w:rPr>
          <w:rFonts w:ascii="Times New Roman" w:hAnsi="Times New Roman"/>
          <w:sz w:val="22"/>
        </w:rPr>
        <w:t>3. **Hydrodynamic Micro-Shading:** Sub-meter wave breaking and micro-topographic canopy shading are parameterized statistically rather than resolved via full 3D computational fluid dynamics (CFD).</w:t>
      </w:r>
    </w:p>
    <w:p>
      <w:pPr>
        <w:spacing w:line="276" w:lineRule="auto" w:after="80"/>
      </w:pPr>
      <w:r>
        <w:rPr>
          <w:rFonts w:ascii="Times New Roman" w:hAnsi="Times New Roman"/>
          <w:sz w:val="22"/>
        </w:rPr>
        <w:t>---</w:t>
      </w:r>
    </w:p>
    <w:p>
      <w:pPr>
        <w:spacing w:before="200" w:after="80"/>
      </w:pPr>
      <w:r>
        <w:rPr>
          <w:rFonts w:ascii="Calibri" w:hAnsi="Calibri"/>
          <w:b/>
          <w:color w:val="2B6CB0"/>
          <w:sz w:val="28"/>
        </w:rPr>
        <w:t>11. Conclusions &amp; Policy Recommendations</w:t>
      </w:r>
    </w:p>
    <w:p>
      <w:pPr>
        <w:spacing w:line="276" w:lineRule="auto" w:after="80"/>
      </w:pPr>
      <w:r>
        <w:rPr>
          <w:rFonts w:ascii="Times New Roman" w:hAnsi="Times New Roman"/>
          <w:sz w:val="22"/>
        </w:rPr>
        <w:t>CoralTwin-DT demonstrates that an environmental digital twin combining satellite remote sensing, biophysical ODEs, and explainable machine learning can accurately forecast coral bleaching risk and optimize decadal conservation planning.</w:t>
      </w:r>
    </w:p>
    <w:p>
      <w:pPr>
        <w:spacing w:line="276" w:lineRule="auto" w:after="80"/>
      </w:pPr>
      <w:r>
        <w:rPr>
          <w:rFonts w:ascii="Times New Roman" w:hAnsi="Times New Roman"/>
          <w:sz w:val="22"/>
        </w:rPr>
        <w:t>**Key Policy Recommendations:**</w:t>
      </w:r>
    </w:p>
    <w:p>
      <w:r>
        <w:rPr>
          <w:rFonts w:ascii="Times New Roman" w:hAnsi="Times New Roman"/>
          <w:sz w:val="22"/>
        </w:rPr>
        <w:t>1. **Adopt Multi-Stressor Forecasting:** Marine park authorities must incorporate ocean acidification and light attenuation into standard heatwave alert systems.</w:t>
      </w:r>
    </w:p>
    <w:p>
      <w:r>
        <w:rPr>
          <w:rFonts w:ascii="Times New Roman" w:hAnsi="Times New Roman"/>
          <w:sz w:val="22"/>
        </w:rPr>
        <w:t>2. **Deploy Hybrid Conservation Portfolios:** Resource allocations should pair no-take fishery reserves with active propagation of thermally resilient coral strains.</w:t>
      </w:r>
    </w:p>
    <w:p>
      <w:r>
        <w:rPr>
          <w:rFonts w:ascii="Times New Roman" w:hAnsi="Times New Roman"/>
          <w:sz w:val="22"/>
        </w:rPr>
        <w:t>3. **Target Hydrodynamic Refugia:** Outplanting efforts should be spatially channeled toward high-SRPI hydrodynamic micro-refugia identified by the digital twin.</w:t>
      </w:r>
    </w:p>
    <w:p>
      <w:pPr>
        <w:spacing w:line="276" w:lineRule="auto" w:after="80"/>
      </w:pPr>
      <w:r>
        <w:rPr>
          <w:rFonts w:ascii="Times New Roman" w:hAnsi="Times New Roman"/>
          <w:sz w:val="22"/>
        </w:rPr>
        <w:t>---</w:t>
      </w:r>
    </w:p>
    <w:p>
      <w:pPr>
        <w:spacing w:before="200" w:after="80"/>
      </w:pPr>
      <w:r>
        <w:rPr>
          <w:rFonts w:ascii="Calibri" w:hAnsi="Calibri"/>
          <w:b/>
          <w:color w:val="2B6CB0"/>
          <w:sz w:val="28"/>
        </w:rPr>
        <w:t>12. Data and Code Availability</w:t>
      </w:r>
    </w:p>
    <w:p>
      <w:pPr>
        <w:spacing w:line="276" w:lineRule="auto" w:after="80"/>
      </w:pPr>
      <w:r>
        <w:rPr>
          <w:rFonts w:ascii="Times New Roman" w:hAnsi="Times New Roman"/>
          <w:sz w:val="22"/>
        </w:rPr>
        <w:t>All source code, trained machine learning models, raw and harmonized datasets, simulation scripts, and publication figures are openly available in the GitHub repository:</w:t>
      </w:r>
    </w:p>
    <w:p>
      <w:pPr>
        <w:spacing w:line="276" w:lineRule="auto" w:after="80"/>
      </w:pPr>
      <w:r>
        <w:rPr>
          <w:rFonts w:ascii="Times New Roman" w:hAnsi="Times New Roman"/>
          <w:sz w:val="22"/>
        </w:rPr>
        <w:t>https://github.com/HrSly11/CoralTwin-DT.git</w:t>
      </w:r>
    </w:p>
    <w:p>
      <w:pPr>
        <w:spacing w:line="276" w:lineRule="auto" w:after="80"/>
      </w:pPr>
      <w:r>
        <w:rPr>
          <w:rFonts w:ascii="Times New Roman" w:hAnsi="Times New Roman"/>
          <w:sz w:val="22"/>
        </w:rPr>
        <w:t>The repository is licensed under the MIT License and adheres to international FAIR data principles.</w:t>
      </w:r>
    </w:p>
    <w:p>
      <w:pPr>
        <w:spacing w:line="276" w:lineRule="auto" w:after="80"/>
      </w:pPr>
      <w:r>
        <w:rPr>
          <w:rFonts w:ascii="Times New Roman" w:hAnsi="Times New Roman"/>
          <w:sz w:val="22"/>
        </w:rPr>
        <w:t>---</w:t>
      </w:r>
    </w:p>
    <w:p>
      <w:pPr>
        <w:spacing w:before="200" w:after="80"/>
      </w:pPr>
      <w:r>
        <w:rPr>
          <w:rFonts w:ascii="Calibri" w:hAnsi="Calibri"/>
          <w:b/>
          <w:color w:val="2B6CB0"/>
          <w:sz w:val="28"/>
        </w:rPr>
        <w:t>References</w:t>
      </w:r>
    </w:p>
    <w:p>
      <w:r>
        <w:rPr>
          <w:rFonts w:ascii="Times New Roman" w:hAnsi="Times New Roman"/>
          <w:sz w:val="22"/>
        </w:rPr>
        <w:t>1. Anthony, K. R. N., Kleypas, J. A., &amp; Gattuso, J.-P. (2011). Ocean acidification and warming will lower coral reef resilience. *Global Change Biology*, 17(5), 1798–1808.</w:t>
      </w:r>
    </w:p>
    <w:p>
      <w:r>
        <w:rPr>
          <w:rFonts w:ascii="Times New Roman" w:hAnsi="Times New Roman"/>
          <w:sz w:val="22"/>
        </w:rPr>
        <w:t>2. Beyer, H. L., Kennedy, E. V., Beger, M., et al. (2018). Risk-sensitive planning for conserving coral reefs under rapid climate change. *Conservation Letters*, 11(6), e12587.</w:t>
      </w:r>
    </w:p>
    <w:p>
      <w:r>
        <w:rPr>
          <w:rFonts w:ascii="Times New Roman" w:hAnsi="Times New Roman"/>
          <w:sz w:val="22"/>
        </w:rPr>
        <w:t>3. Hoegh-Guldberg, O., Mumby, P. J., Hooten, A. J., et al. (2007). Coral reefs under rapid climate change and ocean acidification. *Science*, 318(5857), 1737–1742.</w:t>
      </w:r>
    </w:p>
    <w:p>
      <w:r>
        <w:rPr>
          <w:rFonts w:ascii="Times New Roman" w:hAnsi="Times New Roman"/>
          <w:sz w:val="22"/>
        </w:rPr>
        <w:t>4. Hughes, T. P., Anderson, K. D., Connolly, S. R., et al. (2018). Spatial and temporal patterns of mass bleaching of corals in the Anthropocene. *Science*, 359(6371), 80–83.</w:t>
      </w:r>
    </w:p>
    <w:p>
      <w:pPr>
        <w:spacing w:line="276" w:lineRule="auto" w:after="80"/>
      </w:pPr>
      <w:r>
        <w:rPr>
          <w:rFonts w:ascii="Times New Roman" w:hAnsi="Times New Roman"/>
          <w:sz w:val="22"/>
        </w:rPr>
        <w:t>5. Liu, G., Heron, S. F., Eakin, C. M., et al. (2014). NOAA Coral Reef Watch 50 km and 5 km satellite coral bleaching monitoring products. *Remote Sensing*, 6(11), 11579–11606.</w:t>
      </w:r>
    </w:p>
    <w:p>
      <w:pPr>
        <w:spacing w:line="276" w:lineRule="auto" w:after="80"/>
      </w:pPr>
      <w:r>
        <w:rPr>
          <w:rFonts w:ascii="Times New Roman" w:hAnsi="Times New Roman"/>
          <w:sz w:val="22"/>
        </w:rPr>
        <w:t>6. Lundberg, S. M., &amp; Lee, S.-I. (2017). A unified approach to interpreting model predictions. *Advances in Neural Information Processing Systems*, 30, 4765–4774.</w:t>
      </w:r>
    </w:p>
    <w:p>
      <w:pPr>
        <w:spacing w:line="276" w:lineRule="auto" w:after="80"/>
      </w:pPr>
      <w:r>
        <w:rPr>
          <w:rFonts w:ascii="Times New Roman" w:hAnsi="Times New Roman"/>
          <w:sz w:val="22"/>
        </w:rPr>
        <w:t>7. Lyons, M. B., Roelfsema, C. M., Kennedy, E. V., et al. (2020). Mapping the world's coral reefs using high-resolution satellite imagery and machine learning. *Ecological Indicators*, 117, 106659.</w:t>
      </w:r>
    </w:p>
    <w:p>
      <w:pPr>
        <w:spacing w:line="276" w:lineRule="auto" w:after="80"/>
      </w:pPr>
      <w:r>
        <w:rPr>
          <w:rFonts w:ascii="Times New Roman" w:hAnsi="Times New Roman"/>
          <w:sz w:val="22"/>
        </w:rPr>
        <w:t>8. Mumby, P. J., Hastings, A., &amp; Edwards, A. J. (2007). Thresholds and the resilience of Caribbean coral reefs. *Nature*, 450(7166), 98–101.</w:t>
      </w:r>
    </w:p>
    <w:p>
      <w:pPr>
        <w:spacing w:line="276" w:lineRule="auto" w:after="80"/>
      </w:pPr>
      <w:r>
        <w:rPr>
          <w:rFonts w:ascii="Times New Roman" w:hAnsi="Times New Roman"/>
          <w:sz w:val="22"/>
        </w:rPr>
        <w:t>9. Rasheed, A., San, O., &amp; Kvamsdal, T. (2020). Digital twin: Values, challenges and enablers from a modeling perspective. *IEEE Access*, 8, 21980–22012.</w:t>
      </w:r>
    </w:p>
    <w:p>
      <w:pPr>
        <w:spacing w:line="276" w:lineRule="auto" w:after="80"/>
      </w:pPr>
      <w:r>
        <w:rPr>
          <w:rFonts w:ascii="Times New Roman" w:hAnsi="Times New Roman"/>
          <w:sz w:val="22"/>
        </w:rPr>
        <w:t>10. Skirving, W., Heron, S. F., Marsh, B. L., et al. (2019). Heat stress metrics for coral bleaching. *NOAA Technical Report NESDIS*, 152, 1–45.</w:t>
      </w:r>
    </w:p>
    <w:p>
      <w:pPr>
        <w:spacing w:line="276" w:lineRule="auto" w:after="80"/>
      </w:pPr>
      <w:r>
        <w:rPr>
          <w:rFonts w:ascii="Times New Roman" w:hAnsi="Times New Roman"/>
          <w:sz w:val="22"/>
        </w:rPr>
        <w:t>11. Voolstra, C. R., Buitrago-López, C., Perna, G., et al. (2021). Standardized short-term acute thermal stress assays for rapidly assessing coral heat tolerance. *Nature Protocols*, 16(9), 4382–4414.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