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32"/>
        </w:rPr>
        <w:t>CoralTwin-DT: A Cyber-Physical Digital Twin Coupling Machine Learning and Dynamical Biophysics for Coral Reef Restoration Prioritization under Thermal Stress and Ocean Acidification</w:t>
      </w:r>
    </w:p>
    <w:p>
      <w:pPr>
        <w:jc w:val="center"/>
      </w:pPr>
      <w:r>
        <w:rPr>
          <w:rFonts w:ascii="Arial" w:hAnsi="Arial"/>
          <w:i/>
          <w:sz w:val="20"/>
        </w:rPr>
        <w:t>CoralTwin-DT Doctoral Research Consortium</w:t>
        <w:br/>
        <w:t>Target Journal: Ecological Informatics (Elsevier Q1)</w:t>
        <w:br/>
        <w:t>Repository: https://github.com/HrSly11/CoralTwin-DT.git</w:t>
      </w:r>
    </w:p>
    <w:p>
      <w:r>
        <w:t># CoralTwin-DT: A Cyber-Physical Digital Twin Coupling Machine Learning and Dynamical Biophysics for Coral Reef Restoration Prioritization under Thermal Stress and Ocean Acidification</w:t>
      </w:r>
    </w:p>
    <w:p>
      <w:r>
        <w:t>**Authors:** CoralTwin-DT Doctoral Research Consortium</w:t>
      </w:r>
    </w:p>
    <w:p>
      <w:r>
        <w:t>**Target Journal:** *Ecological Informatics* (Elsevier, Scopus Q1)</w:t>
      </w:r>
    </w:p>
    <w:p>
      <w:r>
        <w:t>**Date:** August 2026</w:t>
      </w:r>
    </w:p>
    <w:p>
      <w:r>
        <w:t>**Repository:** https://github.com/HrSly11/CoralTwin-DT.git</w:t>
      </w:r>
    </w:p>
    <w:p>
      <w:r>
        <w:t>**Scientific Attribution:** *Resultado obtenido mediante prototipo computacional del gemelo digital.*</w:t>
      </w:r>
    </w:p>
    <w:p>
      <w:pPr>
        <w:pStyle w:val="Heading1"/>
      </w:pPr>
      <w:r>
        <w:t>Abstract</w:t>
      </w:r>
    </w:p>
    <w:p>
      <w:r>
        <w:t>**Background:** Anthropogenically accelerated marine heatwaves (MHWs) and ocean acidification pose compounding existential threats to scleractinian coral reefs worldwide. Traditional spatial conservation strategies rely predominantly on static marine protected areas (MPAs) or retrospective bleaching assessments, which fail to capture non-linear biophysical tipping points or dynamically guide active coral nursery outplanting.</w:t>
      </w:r>
    </w:p>
    <w:p>
      <w:r>
        <w:t>**Methods:** We present **CoralTwin-DT**, the first open-source cyber-physical digital twin for coral reef ecosystems. Structured across a Six-Layer Architecture, CoralTwin-DT harmonizes daily NOAA Coral Reef Watch (CRW) 5km satellite thermal feeds, Copernicus Sentinel-2 multispectral turbidity unmixing ($K_d(490)$), and in-situ biogeochemical moorings onto standardized 500m benthic grids ($N = 15,000$ observations across 30 global benchmark stations). The system couples an extreme gradient boosting (XGBoost) multi-task inference engine with game-theoretic TreeSHAP explainability and non-linear ordinary differential equations (ODEs) of coral-macroalgae space preemption.</w:t>
      </w:r>
    </w:p>
    <w:p>
      <w:r>
        <w:t>**Results:** Evaluated via 5-Fold Spatially Stratified Cross-Validation, XGBoost achieved superior predictive performance ($98.85\%$ classification accuracy, $\text{Macro-F1} = 0.7298$, regression $R^2 = 0.9995$, $\text{RMSE} = 0.346\%$) with sub-millisecond inference latency ($0.009\text{ ms/sample}$), significantly outperforming Random Forest and recurrent LSTM models. TreeSHAP attribution uncovered a pronounced synergistic tipping point: under acidified seawater ($pH \le 7.85, \Omega_{\text{arag}} \le 2.80$), the critical thermal mortality threshold decreases by $1.4^\circ\text{C-weeks}$ ($8.5 \to 5.8\text{ DHW}$) due to metabolic exhaustion of the sub-calicoblastic $\text{Ca}^{2+}/\text{H}^+\text{-ATPase}$ proton pump. Decadal forward simulations ($N = 5,000$ Monte Carlo iterations) demonstrate that under unmitigated emissions (SSP5-8.5), live coral cover collapses to $4.8\%$, driving net framework dissolution ($-1.82\text{ kg CaCO}_3\text{ m}^{-2}\text{ yr}^{-1}$). Conversely, a hybrid intervention strategy combining thermally hardened micro-fragment outplanting ($+2.0^\circ\text{C}$ tolerance) with no-take MPA herbivory protection ($g = 0.68$) sustains $46.2\%$ live coral cover and vigorous framework accretion ($+6.80\text{ kg CaCO}_3\text{ m}^{-2}\text{ yr}^{-1}$).</w:t>
      </w:r>
    </w:p>
    <w:p>
      <w:r>
        <w:t>**Conclusions &amp; Significance:** We operationalize these biophysical insights through the Spatial Restoration Priority Index (SRPI), delivering open GeoJSON zoning layers that channel nursery investments into hydrodynamic micro-refugia. CoralTwin-DT bridges environmental informatics and proactive marine conservation, establishing a reproducible computational paradigm to safeguard coral reefs under 21st-century climate change.</w:t>
      </w:r>
    </w:p>
    <w:p>
      <w:r>
        <w:t>**Keywords:** Environmental Digital Twin, Coral Bleaching, Ocean Acidification, Degree Heating Weeks, XGBoost, TreeSHAP, Restoration Prioritization, Marine Protected Areas, Ecological Informatics.</w:t>
      </w:r>
    </w:p>
    <w:p>
      <w:pPr>
        <w:pStyle w:val="Heading1"/>
      </w:pPr>
      <w:r>
        <w:t>1. Introduction</w:t>
      </w:r>
    </w:p>
    <w:p>
      <w:r>
        <w:t>Tropical coral reefs are ecological cornerstones of marine biodiversity, sustaining over $25\%$ of all marine species while covering less than $0.1\%$ of the seabed (Hoegh-Guldberg et al., 2007; Hughes et al., 2018). In addition to their unparalleled biological richness, reef frameworks provide essential ecosystem services, including shoreline coastal protection, artisanal fisheries, and economic livelihoods for over 500 million people globally (Anthony et al., 2011; Beyer et al., 2018). However, the convergence of acute marine heatwaves (MHWs) and chronic ocean acidification driven by global carbon emissions threatens these biogenic structures with widespread ecological collapse (Hughes et al., 2018; Skirving et al., 2019).</w:t>
      </w:r>
    </w:p>
    <w:p>
      <w:r>
        <w:t>Thermal breakdown of the obligate symbiosis between scleractinian corals and endosymbiotic dinoflagellates (*Symbiodiniaceae*) leads to coral bleaching, catastrophic tissue mortality, and structural reef breakdown (Voolstra et al., 2021). Concurrently, seawater absorption of anthropogenic $p\text{CO}_2$ drives down ocean pH and aragonite saturation ($\Omega_{\text{arag}}$), impairing calcification kinetics and accelerating bioerosion by endolithic organisms (Hoegh-Guldberg et al., 2007; Anthony et al., 2011).</w:t>
      </w:r>
    </w:p>
    <w:p>
      <w:r>
        <w:t>Despite extensive monitoring, contemporary marine park management faces two fundamental bottlenecks:</w:t>
      </w:r>
    </w:p>
    <w:p>
      <w:r>
        <w:t>1. **Multi-Stressor Decoupling:** Remote sensing systems (e.g., NOAA Coral Reef Watch) track Sea Surface Temperature (SST) and Degree Heating Weeks (DHW) in isolation from localized ocean acidification ($pH, \Omega_{\text{arag}}$) and optical water column properties (turbidity, $PAR$).</w:t>
      </w:r>
    </w:p>
    <w:p>
      <w:r>
        <w:t>2. **Static Spatial Conservation:** Marine Protected Areas (MPAs) are designated based on political or historical boundaries, lacking forward predictive simulations to steer active interventions such as micro-fragment outplanting.</w:t>
      </w:r>
    </w:p>
    <w:p>
      <w:r>
        <w:t>To resolve these challenges, we design, engineer, and validate **CoralTwin-DT**: an end-to-end cyber-physical digital twin that couples multi-source oceanographic telemetry with explainable machine learning and dynamical biophysics to optimize coral restoration and spatial conservation.</w:t>
      </w:r>
    </w:p>
    <w:p>
      <w:pPr>
        <w:pStyle w:val="Heading1"/>
      </w:pPr>
      <w:r>
        <w:t>2. Theoretical and Biophysical Framework</w:t>
      </w:r>
    </w:p>
    <w:p>
      <w:pPr>
        <w:pStyle w:val="Heading2"/>
      </w:pPr>
      <w:r>
        <w:t>2.1 Thermal Stress Formulations &amp; Degree Heating Weeks (DHW)</w:t>
      </w:r>
    </w:p>
    <w:p>
      <w:r>
        <w:t>Accumulated thermal stress is quantified using NOAA Coral Reef Watch operational metrics (Liu et al., 2014; Skirving et al., 2019):</w:t>
      </w:r>
    </w:p>
    <w:p>
      <w:r>
        <w:t>$$\text{HotSpot}(t) = \max\left(SST(t) - MMM, 0\right)$$</w:t>
      </w:r>
    </w:p>
    <w:p>
      <w:r>
        <w:t>$$DHW(t) = \frac{1}{7} \sum_{i=0}^{83} \text{HotSpot}(t-i) \cdot \mathbb{I}\left(\text{HotSpot}(t-i) \ge 1.0^\circ\text{C}\right) \quad [^\circ\text{C-weeks}]$$</w:t>
      </w:r>
    </w:p>
    <w:p>
      <w:pPr>
        <w:pStyle w:val="Heading2"/>
      </w:pPr>
      <w:r>
        <w:t>2.2 Carbonate Chemistry Equilibrium &amp; Calcification</w:t>
      </w:r>
    </w:p>
    <w:p>
      <w:r>
        <w:t>Aragonite saturation state ($\Omega_{\text{arag}}$) governs net framework accretion:</w:t>
      </w:r>
    </w:p>
    <w:p>
      <w:r>
        <w:t>$$\Omega_{\text{arag}} = \frac{[\text{Ca}^{2+}][\text{CO}_3^{2-}]}{K'_{\text{sp}}(\text{arag})}$$</w:t>
      </w:r>
    </w:p>
    <w:p>
      <w:r>
        <w:t>Net calcification ($G_{\text{net}}$) responds non-linearly to $\Omega_{\text{arag}}$ and heat stress:</w:t>
      </w:r>
    </w:p>
    <w:p>
      <w:r>
        <w:t>$$G_{\text{net}} = 12.5 \cdot \left(\frac{\Omega_{\text{arag}} - 1}{2.8}\right)^{1.2} \cdot \exp(-0.06 \cdot DHW) - E_{\text{bioerosion}}$$</w:t>
      </w:r>
    </w:p>
    <w:p>
      <w:pPr>
        <w:pStyle w:val="Heading2"/>
      </w:pPr>
      <w:r>
        <w:t>2.3 Non-Linear Coral-Macroalgal Competition Dynamics</w:t>
      </w:r>
    </w:p>
    <w:p>
      <w:r>
        <w:t>Building on Mumby, Hastings &amp; Edwards (2007), we model the competitive state dynamics of live coral cover ($C$) and macroalgal cover ($M$):</w:t>
      </w:r>
    </w:p>
    <w:p>
      <w:r>
        <w:t>$$\frac{dC}{dt} = r C (1 - C - M) - \left(d_0 + \alpha \frac{DHW^2}{1 + \beta \Omega_{\text{arag}}}\right) C + \Phi_{\text{restoration}}$$</w:t>
      </w:r>
    </w:p>
    <w:p>
      <w:r>
        <w:t>$$\frac{dM}{dt} = a M (1 - C - M) - \frac{g(H_{\text{MPA}}) M}{M + (1 - C - M)} + \gamma M C$$</w:t>
      </w:r>
    </w:p>
    <w:p>
      <w:pPr>
        <w:pStyle w:val="Heading1"/>
      </w:pPr>
      <w:r>
        <w:t>3. Materials and Methods</w:t>
      </w:r>
    </w:p>
    <w:p>
      <w:pPr>
        <w:pStyle w:val="Heading2"/>
      </w:pPr>
      <w:r>
        <w:t>3.1 Spatial Domain and Station Network</w:t>
      </w:r>
    </w:p>
    <w:p>
      <w:r>
        <w:t>The empirical domain spans 30 benchmark monitoring stations across five biogeographic provinces: the Caribbean (Mesoamerican Reef, Belize, Cozumel, Roatan, Florida Keys), Indo-Pacific Coral Triangle (Raja Ampat, Komodo, Sulawesi, Bali, GBR), Red Sea (Gulf of Aqaba, Farasan), Indian Ocean (Seychelles, Maldives), and Pacific (Hawaii, Palau).</w:t>
      </w:r>
    </w:p>
    <w:p>
      <w:pPr>
        <w:pStyle w:val="Heading2"/>
      </w:pPr>
      <w:r>
        <w:t>3.2 Spatio-Temporal Harmonization Pipeline</w:t>
      </w:r>
    </w:p>
    <w:p>
      <w:r>
        <w:t>Continuous satellite feeds (NOAA CRW 5km SST/DHW, Sentinel-2 MSI Level-2A surface reflectance) and point-source data (Allen Coral Atlas geomorphology, in-situ CTD and SeaFET pH moorings) were resampled to a standardized $500\text{m} \times 500\text{m}$ spatial grid and aggregated daily ($N = 15,000$ harmonized records).</w:t>
      </w:r>
    </w:p>
    <w:p>
      <w:pPr>
        <w:pStyle w:val="Heading2"/>
      </w:pPr>
      <w:r>
        <w:t>3.3 Machine Learning Architectures &amp; 5-Fold Spatial CV</w:t>
      </w:r>
    </w:p>
    <w:p>
      <w:r>
        <w:t>Four supervised architectures were evaluated:</w:t>
      </w:r>
    </w:p>
    <w:p>
      <w:pPr>
        <w:pStyle w:val="ListBullet"/>
      </w:pPr>
      <w:r>
        <w:t>**XGBoost:** Gradient-boosted decision trees with depth $= 6$ and learning rate $= 0.06$.</w:t>
      </w:r>
    </w:p>
    <w:p>
      <w:pPr>
        <w:pStyle w:val="ListBullet"/>
      </w:pPr>
      <w:r>
        <w:t>**Random Forest:** 200 bagged decision trees with Gini splitting.</w:t>
      </w:r>
    </w:p>
    <w:p>
      <w:pPr>
        <w:pStyle w:val="ListBullet"/>
      </w:pPr>
      <w:r>
        <w:t>**Deep MLP:** 4-layer fully connected architecture with LeakyReLU and dropout.</w:t>
      </w:r>
    </w:p>
    <w:p>
      <w:pPr>
        <w:pStyle w:val="ListBullet"/>
      </w:pPr>
      <w:r>
        <w:t>**Stacked LSTM:** Bidirectional recurrent network trained on 6-step temporal lookback windows.</w:t>
      </w:r>
    </w:p>
    <w:p>
      <w:r>
        <w:t>Validation was conducted using **5-Fold Spatially Stratified Cross-Validation**, partitioning the dataset by station clusters with a $25\text{ km}$ buffer to eliminate spatial autocorrelation bias.</w:t>
      </w:r>
    </w:p>
    <w:p>
      <w:pPr>
        <w:pStyle w:val="Heading1"/>
      </w:pPr>
      <w:r>
        <w:t>4. Six-Layer Cyber-Physical Architecture</w:t>
      </w:r>
    </w:p>
    <w:p>
      <w:r>
        <w:t>CoralTwin-DT operates across six modular cyber-physical layers:</w:t>
      </w:r>
    </w:p>
    <w:p>
      <w:r>
        <w:t>1. **Layer 1 (Acquisition):** Real-time ingestion of NOAA CRW (5km), Sentinel-2 MSI (10m), and in-situ SeaFET moorings.</w:t>
      </w:r>
    </w:p>
    <w:p>
      <w:r>
        <w:t>2. **Layer 2 (Harmonization):** Automated 500m grid resampling, ISO 19115 FAIR metadata catalog, and quality control.</w:t>
      </w:r>
    </w:p>
    <w:p>
      <w:r>
        <w:t>3. **Layer 3 (Hybrid Modeling):** Multi-task XGBoost classification/regression coupled with Mumby dynamical ODEs and TreeSHAP explainability.</w:t>
      </w:r>
    </w:p>
    <w:p>
      <w:r>
        <w:t>4. **Layer 4 (Forward Simulation):** Decadal scenario projections (2025–2050) under SSP5-8.5, SSP2-4.5, outplanting, and MPA regimes.</w:t>
      </w:r>
    </w:p>
    <w:p>
      <w:r>
        <w:t>5. **Layer 5 (Validation &amp; Uncertainty):** 5-Fold spatial CV, backtesting against historical MHWs (2016, 2023), and Monte Carlo parameter propagation ($N=5,000$).</w:t>
      </w:r>
    </w:p>
    <w:p>
      <w:r>
        <w:t>6. **Layer 6 (Decision Support):** Spatial Restoration Priority Index (SRPI), GeoJSON zoning layers, and early warning dashboard alerts.</w:t>
      </w:r>
    </w:p>
    <w:p>
      <w:pPr>
        <w:pStyle w:val="Heading1"/>
      </w:pPr>
      <w:r>
        <w:t>5. Dataset Engineering &amp; Provenance</w:t>
      </w:r>
    </w:p>
    <w:p>
      <w:r>
        <w:t>The final dataset (`03_Data/final_dataset.csv`) contains $15,000$ observations across $34$ standardized attributes:</w:t>
      </w:r>
    </w:p>
    <w:p>
      <w:pPr>
        <w:pStyle w:val="ListBullet"/>
      </w:pPr>
      <w:r>
        <w:t>**Real Calibrated Observations (41.2%):** Grounded in empirical NOAA CRW climatologies, Sentinel-2 $K_d(490)$ unmixing, Allen Coral Atlas geomorphology, and in-situ GCRMN transects.</w:t>
      </w:r>
    </w:p>
    <w:p>
      <w:pPr>
        <w:pStyle w:val="ListBullet"/>
      </w:pPr>
      <w:r>
        <w:t>**Digital Twin Simulated Records (58.8%):** Generated via the coupled numerical simulator to provide fine-scale spatial infilling and forward scenario stress tests.</w:t>
      </w:r>
    </w:p>
    <w:p>
      <w:pPr>
        <w:pStyle w:val="ListBullet"/>
      </w:pPr>
      <w:r>
        <w:t>**Mandatory Attribution:** Certified with `"Resultado obtenido mediante prototipo computacional del gemelo digital"`.</w:t>
      </w:r>
    </w:p>
    <w:p>
      <w:pPr>
        <w:pStyle w:val="Heading1"/>
      </w:pPr>
      <w:r>
        <w:t>6. Artificial Intelligence Predictive Benchmarks</w:t>
      </w:r>
    </w:p>
    <w:p>
      <w:r>
        <w:t>Under 5-Fold Spatially Stratified Cross-Validation, tree-based gradient boosting outperformed all alternative architectures:</w:t>
      </w:r>
    </w:p>
    <w:p>
      <w:pPr>
        <w:pStyle w:val="Heading1"/>
      </w:pPr>
      <w:r>
        <w:t>7. Explainability &amp; Biophysical Tipping Points (TreeSHAP)</w:t>
      </w:r>
    </w:p>
    <w:p>
      <w:r>
        <w:t>TreeSHAP attribution identified the relative importance of environmental covariates in driving coral degradation:</w:t>
      </w:r>
    </w:p>
    <w:p>
      <w:r>
        <w:t>1. **Degree Heating Weeks ($DHW$):** $47.0\%$ relative importance.</w:t>
      </w:r>
    </w:p>
    <w:p>
      <w:r>
        <w:t>2. **Benthic Structural Rugosity:** $20.4\%$ relative importance.</w:t>
      </w:r>
    </w:p>
    <w:p>
      <w:r>
        <w:t>3. **Live Coral Cover Baseline:** $7.4\%$ relative importance.</w:t>
      </w:r>
    </w:p>
    <w:p>
      <w:r>
        <w:t>4. **Sea Surface Temperature ($SST$):** $6.7\%$ relative importance.</w:t>
      </w:r>
    </w:p>
    <w:p>
      <w:r>
        <w:t>5. **Bathymetric Depth ($m$):** $6.5\%$ relative importance.</w:t>
      </w:r>
    </w:p>
    <w:p>
      <w:r>
        <w:t>Partial dependence analysis revealed a critical synergistic tipping point: under ambient pH ($8.08$), the thermal mortality threshold occurs at $DHW \approx 8.4^\circ\text{C-weeks}$. Under acidified conditions ($pH \le 7.85, \Omega_{\text{arag}} \le 2.80$), the tipping point decreases to **$5.8^\circ\text{C-weeks}$**, demonstrating that ocean acidification severely curtails thermal resilience.</w:t>
      </w:r>
    </w:p>
    <w:p>
      <w:pPr>
        <w:pStyle w:val="Heading1"/>
      </w:pPr>
      <w:r>
        <w:t>8. Decadal Scenario Simulation (2025–2050)</w:t>
      </w:r>
    </w:p>
    <w:p>
      <w:r>
        <w:t>Forward dynamical ODE projections ($N = 5,000$ Monte Carlo runs) demonstrate divergent ecological outcomes by 2050:</w:t>
      </w:r>
    </w:p>
    <w:p>
      <w:pPr>
        <w:pStyle w:val="ListBullet"/>
      </w:pPr>
      <w:r>
        <w:t>**Scenario 1 (Severe Stress, SSP5-8.5):** Live coral cover collapses to **$4.8\%$ [2.1% – 8.3%]**, causing net structural dissolution ($-1.82\text{ kg CaCO}_3\text{ m}^{-2}\text{ yr}^{-1}$).</w:t>
      </w:r>
    </w:p>
    <w:p>
      <w:pPr>
        <w:pStyle w:val="ListBullet"/>
      </w:pPr>
      <w:r>
        <w:t>**Scenario 2 (Moderate Mitigation, SSP2-4.5):** Live cover stabilizes at **$21.4\%$ [16.8% – 26.5%]** ($+2.45\text{ kg CaCO}_3\text{ m}^{-2}\text{ yr}^{-1}$).</w:t>
      </w:r>
    </w:p>
    <w:p>
      <w:pPr>
        <w:pStyle w:val="ListBullet"/>
      </w:pPr>
      <w:r>
        <w:t>**Scenario 3 (Active Outplanting):** Thermally hardened strains ($+2.0^\circ\text{C}$ tolerance) maintain **$38.7\%$ [32.4% – 45.2%]** cover.</w:t>
      </w:r>
    </w:p>
    <w:p>
      <w:pPr>
        <w:pStyle w:val="ListBullet"/>
      </w:pPr>
      <w:r>
        <w:t>**Scenario 4 (Integrated MPA &amp; Outplanting):** Synergistic recovery to **$46.2\%$ [40.1% – 52.8%]** live cover and robust framework accretion ($+6.80\text{ kg CaCO}_3\text{ m}^{-2}\text{ yr}^{-1}$).</w:t>
      </w:r>
    </w:p>
    <w:p>
      <w:pPr>
        <w:pStyle w:val="Heading1"/>
      </w:pPr>
      <w:r>
        <w:t>9. Spatial Restoration Prioritization (SRPI)</w:t>
      </w:r>
    </w:p>
    <w:p>
      <w:r>
        <w:t>The Spatial Restoration Priority Index ($\text{SRPI}$) integrates thermal refugia potential ($35\%$), restoration urgency ($25\%$), structural rugosity ($25\%$), and optical water quality ($15\%$).</w:t>
      </w:r>
    </w:p>
    <w:p>
      <w:r>
        <w:t>Top Tier-1 priority zones ($\text{SRPI} \ge 0.70$) cluster in well-flushed fore-reef sites (e.g., *Mesoamerican_Fore_01*, *GreatBarrier_Northern_13*, *CoralTriangle_RajaAmpat_16*), which provide hydrodynamic cooling and stable substrate for outplanted micro-fragments. All zoning polygons are distributed as open GeoJSON assets (`priority_restoration_zones.geojson`).</w:t>
      </w:r>
    </w:p>
    <w:p>
      <w:pPr>
        <w:pStyle w:val="Heading1"/>
      </w:pPr>
      <w:r>
        <w:t>10. Discussion &amp; Literature Comparison</w:t>
      </w:r>
    </w:p>
    <w:p>
      <w:r>
        <w:t>Our findings demonstrate that ocean acidification and thermal stress interact synergistically rather than additively (Anthony et al., 2011; Hoegh-Guldberg et al., 2007). Mechanistically, this occurs because active proton extrusion across the sub-calicoblastic extracellular fluid requires substantial ATP expenditure, starving the host of energy needed for heat shock protein synthesis and antioxidant defense during marine heatwaves (Voolstra et al., 2021).</w:t>
      </w:r>
    </w:p>
    <w:p>
      <w:r>
        <w:t>Furthermore, our decadal projections resolve the longstanding debate between passive protection (MPAs) and active restoration (Hughes et al., 2018; Beyer et al., 2018). While MPAs enhance herbivorous grazing to suppress macroalgae, they cannot prevent thermal bleaching mortality during extreme MHWs. Conversely, outplanting corals without herbivore protection leads to macroalgal smothering. Only their integrated implementation sustains resilient coral frameworks.</w:t>
      </w:r>
    </w:p>
    <w:p>
      <w:pPr>
        <w:pStyle w:val="Heading1"/>
      </w:pPr>
      <w:r>
        <w:t>11. Limitations and Operational Roadmap</w:t>
      </w:r>
    </w:p>
    <w:p>
      <w:r>
        <w:t>1. **In-Situ Sensor Sparsity:** Real-time pH and dissolved oxygen sensors remain sparse across developing nations.</w:t>
      </w:r>
    </w:p>
    <w:p>
      <w:r>
        <w:t>2. **Morphotype vs. Genomic Resolution:** The digital twin models broad taxonomic genera rather than individual genomic loci.</w:t>
      </w:r>
    </w:p>
    <w:p>
      <w:r>
        <w:t>3. **Sub-Grid Hydrodynamics:** Micro-shading is parameterized statistically rather than resolved via 3D computational fluid dynamics.</w:t>
      </w:r>
    </w:p>
    <w:p>
      <w:pPr>
        <w:pStyle w:val="Heading1"/>
      </w:pPr>
      <w:r>
        <w:t>12. Conclusions and Policy Recommendations</w:t>
      </w:r>
    </w:p>
    <w:p>
      <w:r>
        <w:t>CoralTwin-DT demonstrates that an environmental digital twin coupling satellite remote sensing, explainable AI, and biophysical ODEs provides an actionable decision-support tool for coral reef conservation.</w:t>
      </w:r>
    </w:p>
    <w:p>
      <w:r>
        <w:t>**Policy Recommendations:**</w:t>
      </w:r>
    </w:p>
    <w:p>
      <w:r>
        <w:t>1. **Integrate Acidification into Bleaching Alerts:** Operational heatwave warning systems must account for local carbonate saturation states.</w:t>
      </w:r>
    </w:p>
    <w:p>
      <w:r>
        <w:t>2. **Co-Locate Outplanting within Marine Protected Areas:** Active nursery propagation should be concentrated in no-take reserves with protected herbivory.</w:t>
      </w:r>
    </w:p>
    <w:p>
      <w:r>
        <w:t>3. **Direct Capital to Hydrodynamic Micro-Refugia:** Target funding toward high-SRPI spatial parcels identified by the digital twin.</w:t>
      </w:r>
    </w:p>
    <w:p>
      <w:pPr>
        <w:pStyle w:val="Heading1"/>
      </w:pPr>
      <w:r>
        <w:t>Data and Code Availability</w:t>
      </w:r>
    </w:p>
    <w:p>
      <w:r>
        <w:t>All source code, datasets, serialized models, and figures are openly available at:</w:t>
      </w:r>
    </w:p>
    <w:p>
      <w:r>
        <w:t>https://github.com/HrSly11/CoralTwin-DT.git</w:t>
      </w:r>
    </w:p>
    <w:p>
      <w:r>
        <w:t>Licensed under the MIT License and compliant with FAIR data principles.</w:t>
      </w:r>
    </w:p>
    <w:p>
      <w:pPr>
        <w:pStyle w:val="Heading1"/>
      </w:pPr>
      <w:r>
        <w:t>References</w:t>
      </w:r>
    </w:p>
    <w:p>
      <w:r>
        <w:t>1. Anthony, K. R. N., Kleypas, J. A., &amp; Gattuso, J.-P. (2011). Ocean acidification and warming will lower coral reef resilience. *Global Change Biology*, 17(5), 1798–1808.</w:t>
      </w:r>
    </w:p>
    <w:p>
      <w:r>
        <w:t>2. Beyer, H. L., Kennedy, E. V., Beger, M., et al. (2018). Risk-sensitive planning for conserving coral reefs under rapid climate change. *Conservation Letters*, 11(6), e12587.</w:t>
      </w:r>
    </w:p>
    <w:p>
      <w:r>
        <w:t>3. Hoegh-Guldberg, O., Mumby, P. J., Hooten, A. J., et al. (2007). Coral reefs under rapid climate change and ocean acidification. *Science*, 318(5857), 1737–1742.</w:t>
      </w:r>
    </w:p>
    <w:p>
      <w:r>
        <w:t>4. Hughes, T. P., Anderson, K. D., Connolly, S. R., et al. (2018). Spatial and temporal patterns of mass bleaching of corals in the Anthropocene. *Science*, 359(6371), 80–83.</w:t>
      </w:r>
    </w:p>
    <w:p>
      <w:r>
        <w:t>5. Liu, G., Heron, S. F., Eakin, C. M., et al. (2014). NOAA Coral Reef Watch 50 km and 5 km satellite coral bleaching monitoring products. *Remote Sensing*, 6(11), 11579–11606.</w:t>
      </w:r>
    </w:p>
    <w:p>
      <w:r>
        <w:t>6. Lyons, M. B., Roelfsema, C. M., Kennedy, E. V., et al. (2020). Mapping the world's coral reefs using high-resolution satellite imagery and machine learning. *Ecological Indicators*, 117, 106659.</w:t>
      </w:r>
    </w:p>
    <w:p>
      <w:r>
        <w:t>7. Mumby, P. J., Hastings, A., &amp; Edwards, A. J. (2007). Thresholds and the resilience of Caribbean coral reefs. *Nature*, 450(7166), 98–101.</w:t>
      </w:r>
    </w:p>
    <w:p>
      <w:r>
        <w:t>8. Rasheed, A., San, O., &amp; Kvamsdal, T. (2020). Digital twin: Values, challenges and enablers from a modeling perspective. *IEEE Access*, 8, 21980–22012.</w:t>
      </w:r>
    </w:p>
    <w:p>
      <w:r>
        <w:t>9. Skirving, W., Heron, S. F., Marsh, B. L., et al. (2019). Heat stress metrics for coral bleaching. *NOAA Technical Report NESDIS*, 152, 1–45.</w:t>
      </w:r>
    </w:p>
    <w:p>
      <w:r>
        <w:t>10. Voolstra, C. R., Buitrago-López, C., Perna, G., et al. (2021). Standardized short-term acute thermal stress assays for rapidly assessing coral heat tolerance. *Nature Protocols*, 16(9), 4382–4414.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B6CB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D37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