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9E4C9D2" w14:textId="173096C6" w:rsidR="003F2DD3" w:rsidRPr="0074330F" w:rsidRDefault="003F2DD3" w:rsidP="003F2DD3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</w:t>
      </w:r>
      <w:r>
        <w:rPr>
          <w:lang w:val="en-US"/>
        </w:rPr>
        <w:t>2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lang w:val="en-US"/>
        </w:rPr>
        <w:t>28</w:t>
      </w:r>
      <w:r>
        <w:rPr>
          <w:lang w:val="en-US"/>
        </w:rPr>
        <w:t>.8.2025</w:t>
      </w:r>
    </w:p>
    <w:p w14:paraId="691F52EE" w14:textId="77777777" w:rsidR="003F2DD3" w:rsidRDefault="003F2DD3" w:rsidP="003F2DD3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1BD65E6" w14:textId="77777777" w:rsidR="003F2DD3" w:rsidRPr="00FB415B" w:rsidRDefault="003F2DD3" w:rsidP="003F2DD3">
      <w:pPr>
        <w:pStyle w:val="Odstavecseseznamem"/>
        <w:numPr>
          <w:ilvl w:val="0"/>
          <w:numId w:val="7"/>
        </w:numPr>
        <w:rPr>
          <w:lang w:val="en-US"/>
        </w:rPr>
      </w:pPr>
    </w:p>
    <w:p w14:paraId="09FB28E9" w14:textId="77777777" w:rsidR="003F2DD3" w:rsidRPr="00FF2075" w:rsidRDefault="003F2DD3" w:rsidP="003F2DD3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286C7AD9" w14:textId="548E8832" w:rsidR="003F2DD3" w:rsidRPr="003F2DD3" w:rsidRDefault="003F2DD3" w:rsidP="003F2DD3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</w:t>
      </w:r>
      <w:r>
        <w:rPr>
          <w:lang w:val="en-US"/>
        </w:rPr>
        <w:t xml:space="preserve"> načtení uživatele v případě, že se načetlo jméno s kapitálkami</w:t>
      </w:r>
    </w:p>
    <w:p w14:paraId="64B1A1AF" w14:textId="77777777" w:rsidR="003F2DD3" w:rsidRDefault="003F2DD3" w:rsidP="003F2DD3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D94A206" w14:textId="77777777" w:rsidR="003F2DD3" w:rsidRPr="00FB415B" w:rsidRDefault="003F2DD3" w:rsidP="003F2DD3">
      <w:pPr>
        <w:pStyle w:val="Odstavecseseznamem"/>
        <w:numPr>
          <w:ilvl w:val="0"/>
          <w:numId w:val="7"/>
        </w:numPr>
        <w:rPr>
          <w:lang w:val="en-US"/>
        </w:rPr>
      </w:pPr>
    </w:p>
    <w:p w14:paraId="5DE0B794" w14:textId="12A17B89" w:rsidR="003F2DD3" w:rsidRDefault="003F2DD3" w:rsidP="003F2DD3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31E3BB1" w14:textId="1F5AEE4A" w:rsidR="003F2DD3" w:rsidRDefault="003F2DD3" w:rsidP="003F2DD3">
      <w:pPr>
        <w:rPr>
          <w:lang w:val="en-US"/>
        </w:rPr>
      </w:pPr>
      <w:r>
        <w:rPr>
          <w:lang w:val="en-US"/>
        </w:rPr>
        <w:br w:type="page"/>
      </w:r>
    </w:p>
    <w:p w14:paraId="4B989EEF" w14:textId="10EF9B1C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  <w:num w:numId="7" w16cid:durableId="531767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A3A46"/>
    <w:rsid w:val="000C28CB"/>
    <w:rsid w:val="000C3F49"/>
    <w:rsid w:val="000F2BDF"/>
    <w:rsid w:val="000F4F45"/>
    <w:rsid w:val="00103658"/>
    <w:rsid w:val="001055C8"/>
    <w:rsid w:val="00107FAB"/>
    <w:rsid w:val="0014224F"/>
    <w:rsid w:val="001441BA"/>
    <w:rsid w:val="001A6B8B"/>
    <w:rsid w:val="001C5888"/>
    <w:rsid w:val="001C79BD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2DD3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D4393"/>
    <w:rsid w:val="007E04F9"/>
    <w:rsid w:val="007E1025"/>
    <w:rsid w:val="0082141F"/>
    <w:rsid w:val="008257C4"/>
    <w:rsid w:val="00873378"/>
    <w:rsid w:val="0088271E"/>
    <w:rsid w:val="008B4A5F"/>
    <w:rsid w:val="008B542D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507"/>
    <w:rsid w:val="00D04E66"/>
    <w:rsid w:val="00D241BE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28</Pages>
  <Words>1188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90</cp:revision>
  <dcterms:created xsi:type="dcterms:W3CDTF">2025-04-02T11:43:00Z</dcterms:created>
  <dcterms:modified xsi:type="dcterms:W3CDTF">2025-08-28T05:47:00Z</dcterms:modified>
</cp:coreProperties>
</file>