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2B063854" w14:textId="1137D0DB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04A08">
        <w:rPr>
          <w:lang w:val="en-US"/>
        </w:rPr>
        <w:t>9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214A193" w:rsidR="000E7555" w:rsidRPr="000E7555" w:rsidRDefault="0091071C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Klávesa </w:t>
      </w:r>
      <w:r w:rsidRPr="0091071C">
        <w:rPr>
          <w:b/>
          <w:bCs/>
          <w:lang w:val="en-US"/>
        </w:rPr>
        <w:t>delete</w:t>
      </w:r>
      <w:r>
        <w:rPr>
          <w:lang w:val="en-US"/>
        </w:rPr>
        <w:t xml:space="preserve"> už nemaže záznam, pokud je aktivní prvek rozbalovací / textové pole</w:t>
      </w: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>Jedná se pouze o tuto část vizualizace, na zapsané hodiny, ani indikátory příchodu a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924DF"/>
    <w:rsid w:val="00793C06"/>
    <w:rsid w:val="007A1225"/>
    <w:rsid w:val="007A1A88"/>
    <w:rsid w:val="007B3FCA"/>
    <w:rsid w:val="007B40D6"/>
    <w:rsid w:val="007D4393"/>
    <w:rsid w:val="007E04F9"/>
    <w:rsid w:val="007E09D3"/>
    <w:rsid w:val="007E1025"/>
    <w:rsid w:val="00804A08"/>
    <w:rsid w:val="0082141F"/>
    <w:rsid w:val="008257C4"/>
    <w:rsid w:val="008332CE"/>
    <w:rsid w:val="00873378"/>
    <w:rsid w:val="0088271E"/>
    <w:rsid w:val="008B4A5F"/>
    <w:rsid w:val="008B542D"/>
    <w:rsid w:val="008F061E"/>
    <w:rsid w:val="0091071C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5698"/>
    <w:rsid w:val="00D9710D"/>
    <w:rsid w:val="00DC13A0"/>
    <w:rsid w:val="00DC6392"/>
    <w:rsid w:val="00DD49DF"/>
    <w:rsid w:val="00E13018"/>
    <w:rsid w:val="00E33052"/>
    <w:rsid w:val="00E37F95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34</Pages>
  <Words>1397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103</cp:revision>
  <dcterms:created xsi:type="dcterms:W3CDTF">2025-04-02T11:43:00Z</dcterms:created>
  <dcterms:modified xsi:type="dcterms:W3CDTF">2025-10-09T08:24:00Z</dcterms:modified>
</cp:coreProperties>
</file>