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6004DC1E" w14:textId="11B824F0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10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3889274F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nastaveni (horní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 nebo nastavit čas upozornění</w:t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5BD6F5C1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V nastavení (</w:t>
      </w:r>
      <w:r>
        <w:rPr>
          <w:lang w:val="en-US"/>
        </w:rPr>
        <w:t>horní lišta =</w:t>
      </w:r>
      <w:proofErr w:type="gramStart"/>
      <w:r>
        <w:rPr>
          <w:lang w:val="en-US"/>
        </w:rPr>
        <w:t xml:space="preserve">&gt; </w:t>
      </w:r>
      <w:r w:rsidRPr="00561A50">
        <w:rPr>
          <w:b/>
          <w:bCs/>
          <w:lang w:val="en-US"/>
        </w:rPr>
        <w:t>?</w:t>
      </w:r>
      <w:proofErr w:type="gramEnd"/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</w:t>
      </w:r>
      <w:r>
        <w:rPr>
          <w:lang w:val="en-US"/>
        </w:rPr>
        <w:t>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Pr="00D70746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F4F45"/>
    <w:rsid w:val="0014224F"/>
    <w:rsid w:val="001A6B8B"/>
    <w:rsid w:val="00226B7B"/>
    <w:rsid w:val="002518C0"/>
    <w:rsid w:val="00256E7A"/>
    <w:rsid w:val="002661D4"/>
    <w:rsid w:val="002A1CE9"/>
    <w:rsid w:val="002B73AD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57A75"/>
    <w:rsid w:val="00470F72"/>
    <w:rsid w:val="00482736"/>
    <w:rsid w:val="004D48B2"/>
    <w:rsid w:val="00512CC1"/>
    <w:rsid w:val="00513D1A"/>
    <w:rsid w:val="00561A50"/>
    <w:rsid w:val="00572932"/>
    <w:rsid w:val="005C1E96"/>
    <w:rsid w:val="005D5EFD"/>
    <w:rsid w:val="005F08EF"/>
    <w:rsid w:val="005F3826"/>
    <w:rsid w:val="00621A86"/>
    <w:rsid w:val="00626E8E"/>
    <w:rsid w:val="006279B6"/>
    <w:rsid w:val="00637B1A"/>
    <w:rsid w:val="00662585"/>
    <w:rsid w:val="006765C7"/>
    <w:rsid w:val="00690BDB"/>
    <w:rsid w:val="00697050"/>
    <w:rsid w:val="006A7759"/>
    <w:rsid w:val="006B7368"/>
    <w:rsid w:val="006C49BA"/>
    <w:rsid w:val="006E0BD4"/>
    <w:rsid w:val="006F6A30"/>
    <w:rsid w:val="007924DF"/>
    <w:rsid w:val="00793C06"/>
    <w:rsid w:val="007A1225"/>
    <w:rsid w:val="007B3FCA"/>
    <w:rsid w:val="007B40D6"/>
    <w:rsid w:val="007E04F9"/>
    <w:rsid w:val="007E1025"/>
    <w:rsid w:val="0082141F"/>
    <w:rsid w:val="00873378"/>
    <w:rsid w:val="008B4A5F"/>
    <w:rsid w:val="008F061E"/>
    <w:rsid w:val="009259F5"/>
    <w:rsid w:val="0093416E"/>
    <w:rsid w:val="00936F3A"/>
    <w:rsid w:val="009419C6"/>
    <w:rsid w:val="00950D1B"/>
    <w:rsid w:val="009523A0"/>
    <w:rsid w:val="009612B4"/>
    <w:rsid w:val="009E6A6D"/>
    <w:rsid w:val="009F5527"/>
    <w:rsid w:val="00A05C42"/>
    <w:rsid w:val="00A93355"/>
    <w:rsid w:val="00A94EF6"/>
    <w:rsid w:val="00AC24D0"/>
    <w:rsid w:val="00B030CC"/>
    <w:rsid w:val="00B12CB2"/>
    <w:rsid w:val="00B2657D"/>
    <w:rsid w:val="00B35BF1"/>
    <w:rsid w:val="00C303F2"/>
    <w:rsid w:val="00C64528"/>
    <w:rsid w:val="00C77804"/>
    <w:rsid w:val="00C85D0F"/>
    <w:rsid w:val="00CE3724"/>
    <w:rsid w:val="00D02D0A"/>
    <w:rsid w:val="00D04E66"/>
    <w:rsid w:val="00D26C9D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4371"/>
    <w:rsid w:val="00E82725"/>
    <w:rsid w:val="00EE6BD0"/>
    <w:rsid w:val="00EF0171"/>
    <w:rsid w:val="00F122FD"/>
    <w:rsid w:val="00F30993"/>
    <w:rsid w:val="00F532B7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21</Pages>
  <Words>905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58</cp:revision>
  <dcterms:created xsi:type="dcterms:W3CDTF">2025-04-02T11:43:00Z</dcterms:created>
  <dcterms:modified xsi:type="dcterms:W3CDTF">2025-06-11T07:19:00Z</dcterms:modified>
</cp:coreProperties>
</file>