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ListBullet"/>
            </w:pPr>
            <w:r>
              <w:t>Acerbis</w:t>
            </w:r>
          </w:p>
          <w:p>
            <w:pPr>
              <w:pStyle w:val="ListBullet"/>
            </w:pPr>
            <w:r>
              <w:t>Chi siamo</w:t>
            </w:r>
          </w:p>
          <w:p>
            <w:pPr>
              <w:pStyle w:val="ListBullet"/>
            </w:pPr>
            <w:r>
              <w:t>R&amp;D e Qualità</w:t>
            </w:r>
          </w:p>
          <w:p>
            <w:pPr>
              <w:pStyle w:val="ListBullet"/>
            </w:pPr>
            <w:r>
              <w:t>Sostenibilità</w:t>
            </w:r>
          </w:p>
        </w:tc>
        <w:tc>
          <w:tcPr>
            <w:tcW w:type="dxa" w:w="2160"/>
          </w:tcPr>
          <w:p>
            <w:pPr>
              <w:pStyle w:val="ListBullet"/>
            </w:pPr>
            <w:r>
              <w:t>Settori</w:t>
            </w:r>
          </w:p>
          <w:p>
            <w:pPr>
              <w:pStyle w:val="ListBullet"/>
            </w:pPr>
            <w:r>
              <w:t>Motorcycle</w:t>
            </w:r>
          </w:p>
          <w:p>
            <w:pPr>
              <w:pStyle w:val="ListBullet"/>
            </w:pPr>
            <w:r>
              <w:t>Agricoltura</w:t>
            </w:r>
          </w:p>
          <w:p>
            <w:pPr>
              <w:pStyle w:val="ListBullet"/>
            </w:pPr>
            <w:r>
              <w:t>Movimento terra</w:t>
            </w:r>
          </w:p>
          <w:p>
            <w:pPr>
              <w:pStyle w:val="ListBullet"/>
            </w:pPr>
            <w:r>
              <w:t>Material handling</w:t>
            </w:r>
          </w:p>
          <w:p>
            <w:pPr>
              <w:pStyle w:val="ListBullet"/>
            </w:pPr>
            <w:r>
              <w:t>Altri settori</w:t>
            </w:r>
          </w:p>
        </w:tc>
        <w:tc>
          <w:tcPr>
            <w:tcW w:type="dxa" w:w="2160"/>
          </w:tcPr>
          <w:p>
            <w:pPr>
              <w:pStyle w:val="ListBullet"/>
            </w:pPr>
            <w:r>
              <w:t>Tecnologie</w:t>
            </w:r>
          </w:p>
          <w:p>
            <w:pPr>
              <w:pStyle w:val="ListBullet"/>
            </w:pPr>
            <w:r>
              <w:t>Stampaggio rotazionale</w:t>
            </w:r>
          </w:p>
          <w:p>
            <w:pPr>
              <w:pStyle w:val="ListBullet"/>
            </w:pPr>
            <w:r>
              <w:t>Stampaggio a iniezione</w:t>
            </w:r>
          </w:p>
        </w:tc>
        <w:tc>
          <w:tcPr>
            <w:tcW w:type="dxa" w:w="2160"/>
          </w:tcPr>
          <w:p>
            <w:pPr>
              <w:pStyle w:val="ListBullet"/>
            </w:pPr>
            <w:r>
              <w:t>Engineering</w:t>
            </w:r>
          </w:p>
          <w:p>
            <w:pPr>
              <w:pStyle w:val="ListBullet"/>
            </w:pPr>
            <w:r>
              <w:t>Project Management</w:t>
            </w:r>
          </w:p>
          <w:p>
            <w:pPr>
              <w:pStyle w:val="ListBullet"/>
            </w:pPr>
            <w:r>
              <w:t>Engineering Capability</w:t>
            </w:r>
          </w:p>
          <w:p>
            <w:pPr>
              <w:pStyle w:val="ListBullet"/>
            </w:pPr>
            <w:r>
              <w:t>© 2024 ACERBIS ITALIA SPA</w:t>
            </w:r>
          </w:p>
          <w:p>
            <w:pPr>
              <w:pStyle w:val="ListBullet"/>
            </w:pPr>
            <w:r>
              <w:t>Società soggetta all'attività di direzione e coordinamento di Yellow Holding S.r.l.</w:t>
            </w:r>
          </w:p>
          <w:p>
            <w:pPr>
              <w:pStyle w:val="ListBullet"/>
            </w:pPr>
            <w:r>
              <w:t>P.IVA 00862020161</w:t>
            </w:r>
          </w:p>
          <w:p>
            <w:pPr>
              <w:pStyle w:val="ListBullet"/>
            </w:pPr>
            <w:r>
              <w:t>Privacy &amp; Cookie Policy</w:t>
            </w:r>
          </w:p>
          <w:p>
            <w:pPr>
              <w:pStyle w:val="ListBullet"/>
            </w:pPr>
            <w:r>
              <w:t>Contatti</w:t>
            </w:r>
          </w:p>
          <w:p>
            <w:pPr>
              <w:pStyle w:val="ListBullet"/>
            </w:pPr>
            <w:r>
              <w:t>Lavora con noi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