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3816" w14:textId="3684B4B5" w:rsidR="00031E5E" w:rsidRDefault="00764D10">
      <w:r w:rsidRPr="00764D10">
        <w:rPr>
          <w:noProof/>
        </w:rPr>
        <w:drawing>
          <wp:inline distT="0" distB="0" distL="0" distR="0" wp14:anchorId="7EE7712E" wp14:editId="3039BD96">
            <wp:extent cx="5731510" cy="438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36" w14:textId="45F6B514" w:rsidR="00764D10" w:rsidRDefault="00764D10">
      <w:r w:rsidRPr="00764D10">
        <w:rPr>
          <w:noProof/>
        </w:rPr>
        <w:drawing>
          <wp:inline distT="0" distB="0" distL="0" distR="0" wp14:anchorId="4EABB94B" wp14:editId="021A4C88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889" w14:textId="62A66199" w:rsidR="00764D10" w:rsidRDefault="00764D10">
      <w:r w:rsidRPr="00764D10">
        <w:rPr>
          <w:noProof/>
        </w:rPr>
        <w:lastRenderedPageBreak/>
        <w:drawing>
          <wp:inline distT="0" distB="0" distL="0" distR="0" wp14:anchorId="749AD500" wp14:editId="165CA726">
            <wp:extent cx="5731510" cy="2586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5EC" w14:textId="4DB9AE57" w:rsidR="00495953" w:rsidRDefault="00495953">
      <w:r>
        <w:t>Overview</w:t>
      </w:r>
      <w:bookmarkStart w:id="0" w:name="_GoBack"/>
      <w:bookmarkEnd w:id="0"/>
      <w:r>
        <w:t>: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The classification model achieved an accuracy of 90%, indicating strong overall performance. While precision, recall, and F1-scores were relatively balanced across classes, there may still be room for improvement through strategies like addressing class imbalance and fine-tuning hyperparameters. Exploring alternative algorithms or model architectures could also provide insights for enhancing performance further. Additionally,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analyzing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misclassified instances and incorporating domain knowledge may offer valuable insights for refining the model's predictions.</w:t>
      </w:r>
    </w:p>
    <w:sectPr w:rsidR="0049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0"/>
    <w:rsid w:val="00031E5E"/>
    <w:rsid w:val="00194320"/>
    <w:rsid w:val="00495953"/>
    <w:rsid w:val="007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FEFB"/>
  <w15:chartTrackingRefBased/>
  <w15:docId w15:val="{E767CF0D-FFDD-4505-8BDA-9968B981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HRICHIK PAUL ANKAN</dc:creator>
  <cp:keywords/>
  <dc:description/>
  <cp:lastModifiedBy>HRICHIK PAUL ANKAN</cp:lastModifiedBy>
  <cp:revision>3</cp:revision>
  <dcterms:created xsi:type="dcterms:W3CDTF">2024-04-09T15:27:00Z</dcterms:created>
  <dcterms:modified xsi:type="dcterms:W3CDTF">2024-04-09T16:00:00Z</dcterms:modified>
</cp:coreProperties>
</file>