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b/>
          <w:color w:val="0070F3"/>
          <w:sz w:val="20"/>
        </w:rPr>
        <w:t>PROOF OF CONCEPT</w:t>
      </w:r>
    </w:p>
    <w:p>
      <w:r>
        <w:rPr>
          <w:b/>
          <w:color w:val="1A1A2E"/>
          <w:sz w:val="60"/>
        </w:rPr>
        <w:t>Employee Attrition Risk Register</w:t>
      </w:r>
    </w:p>
    <w:p>
      <w:pPr>
        <w:spacing w:before="40" w:after="120"/>
        <w:pBdr>
          <w:bottom w:val="single" w:sz="6" w:space="1" w:color="0070F3"/>
        </w:pBdr>
      </w:pPr>
    </w:p>
    <w:p>
      <w:r>
        <w:rPr>
          <w:color w:val="999999"/>
          <w:sz w:val="22"/>
        </w:rPr>
        <w:t>Built on SAP SuccessFactors  ·  997 Active Employees  ·  18-Factor Model</w:t>
      </w:r>
    </w:p>
    <w:p>
      <w:r>
        <w:rPr>
          <w:color w:val="999999"/>
          <w:sz w:val="20"/>
        </w:rPr>
        <w:t>September 2026</w:t>
      </w:r>
    </w:p>
    <w:p/>
    <w:p>
      <w:pPr>
        <w:jc w:val="center"/>
      </w:pPr>
      <w:r>
        <w:rPr>
          <w:i/>
          <w:color w:val="999999"/>
          <w:sz w:val="18"/>
        </w:rPr>
        <w:t>Confidential — Internal Use Only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1</w:t>
      </w:r>
    </w:p>
    <w:p>
      <w:pPr>
        <w:spacing w:before="120" w:after="80"/>
      </w:pPr>
      <w:r>
        <w:rPr>
          <w:b/>
          <w:color w:val="1A1A2E"/>
          <w:sz w:val="40"/>
        </w:rPr>
        <w:t>The Problem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Every organisation loses people they didn't want to lose. The frustrating truth is that by the time someone hands in their notice, the decision was made weeks — or months — earlier.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0F4FF"/>
            <w:tcBorders>
              <w:top w:val="single" w:sz="4" w:space="0" w:color="0070F3"/>
              <w:left w:val="single" w:sz="4" w:space="0" w:color="0070F3"/>
              <w:bottom w:val="single" w:sz="4" w:space="0" w:color="0070F3"/>
              <w:right w:val="single" w:sz="4" w:space="0" w:color="0070F3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1A1A2E"/>
                <w:sz w:val="26"/>
              </w:rPr>
              <w:t>"We find out people are leaving when it's already too late."</w:t>
            </w:r>
          </w:p>
        </w:tc>
      </w:tr>
    </w:tbl>
    <w:p/>
    <w:p>
      <w:pPr>
        <w:spacing w:after="100"/>
      </w:pPr>
      <w:r>
        <w:rPr>
          <w:b/>
          <w:color w:val="1A1A2E"/>
          <w:sz w:val="21"/>
        </w:rPr>
        <w:t>We set out to answer one question:</w:t>
      </w:r>
    </w:p>
    <w:p>
      <w:r>
        <w:rPr>
          <w:b/>
          <w:color w:val="0070F3"/>
          <w:sz w:val="22"/>
        </w:rPr>
        <w:t>Are the signals of flight risk already sitting in our SuccessFactors data — unread?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2</w:t>
      </w:r>
    </w:p>
    <w:p>
      <w:pPr>
        <w:spacing w:before="120" w:after="80"/>
      </w:pPr>
      <w:r>
        <w:rPr>
          <w:b/>
          <w:color w:val="1A1A2E"/>
          <w:sz w:val="40"/>
        </w:rPr>
        <w:t>The Hypothesis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Employees don't leave overnight. Before they resign, patterns appear in the data. SuccessFactors records all of this. We just needed to read it.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54"/>
            <w:shd w:val="clear" w:color="auto" w:fill="0070F3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Role Stagnation</w:t>
            </w:r>
          </w:p>
        </w:tc>
        <w:tc>
          <w:tcPr>
            <w:tcW w:type="dxa" w:w="6803"/>
          </w:tcPr>
          <w:p>
            <w:pPr>
              <w:spacing w:before="120" w:after="120"/>
              <w:ind w:left="170"/>
            </w:pPr>
            <w:r>
              <w:rPr>
                <w:color w:val="2C3E50"/>
                <w:sz w:val="20"/>
              </w:rPr>
              <w:t>Years in same role with no position change — visible in job history</w:t>
            </w:r>
          </w:p>
        </w:tc>
      </w:tr>
      <w:tr>
        <w:tc>
          <w:tcPr>
            <w:tcW w:type="dxa" w:w="2154"/>
            <w:shd w:val="clear" w:color="auto" w:fill="F39C12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Compensation Drift</w:t>
            </w:r>
          </w:p>
        </w:tc>
        <w:tc>
          <w:tcPr>
            <w:tcW w:type="dxa" w:w="6803"/>
          </w:tcPr>
          <w:p>
            <w:pPr>
              <w:spacing w:before="120" w:after="120"/>
              <w:ind w:left="170"/>
            </w:pPr>
            <w:r>
              <w:rPr>
                <w:color w:val="2C3E50"/>
                <w:sz w:val="20"/>
              </w:rPr>
              <w:t>Salary falling below department median — visible in payroll records</w:t>
            </w:r>
          </w:p>
        </w:tc>
      </w:tr>
      <w:tr>
        <w:tc>
          <w:tcPr>
            <w:tcW w:type="dxa" w:w="2154"/>
            <w:shd w:val="clear" w:color="auto" w:fill="E74C3C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Disengagement</w:t>
            </w:r>
          </w:p>
        </w:tc>
        <w:tc>
          <w:tcPr>
            <w:tcW w:type="dxa" w:w="6803"/>
          </w:tcPr>
          <w:p>
            <w:pPr>
              <w:spacing w:before="120" w:after="120"/>
              <w:ind w:left="170"/>
            </w:pPr>
            <w:r>
              <w:rPr>
                <w:color w:val="2C3E50"/>
                <w:sz w:val="20"/>
              </w:rPr>
              <w:t>Rising absence counts and unspent PTO — visible in time management data</w:t>
            </w:r>
          </w:p>
        </w:tc>
      </w:tr>
      <w:tr>
        <w:tc>
          <w:tcPr>
            <w:tcW w:type="dxa" w:w="2154"/>
            <w:shd w:val="clear" w:color="auto" w:fill="9B59B6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Career Stall</w:t>
            </w:r>
          </w:p>
        </w:tc>
        <w:tc>
          <w:tcPr>
            <w:tcW w:type="dxa" w:w="6803"/>
          </w:tcPr>
          <w:p>
            <w:pPr>
              <w:spacing w:before="120" w:after="120"/>
              <w:ind w:left="170"/>
            </w:pPr>
            <w:r>
              <w:rPr>
                <w:color w:val="2C3E50"/>
                <w:sz w:val="20"/>
              </w:rPr>
              <w:t>No performance review completed, not in calibration — visible in talent data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3</w:t>
      </w:r>
    </w:p>
    <w:p>
      <w:pPr>
        <w:spacing w:before="120" w:after="80"/>
      </w:pPr>
      <w:r>
        <w:rPr>
          <w:b/>
          <w:color w:val="1A1A2E"/>
          <w:sz w:val="40"/>
        </w:rPr>
        <w:t>What We Built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A working POC built entirely on your existing SuccessFactors instance. No new system. No new data entry. Live data, scored on demand.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0070F3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8"/>
              </w:rPr>
              <w:t>SAP SuccessFactors</w:t>
              <w:br/>
              <w:t>14 OData Entities</w:t>
            </w:r>
          </w:p>
        </w:tc>
        <w:tc>
          <w:tcPr>
            <w:tcW w:type="dxa" w:w="567"/>
          </w:tcPr>
          <w:p>
            <w:pPr>
              <w:spacing w:before="160" w:after="160"/>
              <w:jc w:val="center"/>
            </w:pPr>
            <w:r>
              <w:rPr>
                <w:b/>
                <w:color w:val="0070F3"/>
                <w:sz w:val="32"/>
              </w:rPr>
              <w:t>→</w:t>
            </w:r>
          </w:p>
        </w:tc>
        <w:tc>
          <w:tcPr>
            <w:tcW w:type="dxa" w:w="2268"/>
            <w:shd w:val="clear" w:color="auto" w:fill="9B59B6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8"/>
              </w:rPr>
              <w:t>Risk Scoring Model</w:t>
              <w:br/>
              <w:t>18 Factors · Python</w:t>
            </w:r>
          </w:p>
        </w:tc>
        <w:tc>
          <w:tcPr>
            <w:tcW w:type="dxa" w:w="567"/>
          </w:tcPr>
          <w:p>
            <w:pPr>
              <w:spacing w:before="160" w:after="160"/>
              <w:jc w:val="center"/>
            </w:pPr>
            <w:r>
              <w:rPr>
                <w:b/>
                <w:color w:val="0070F3"/>
                <w:sz w:val="32"/>
              </w:rPr>
              <w:t>→</w:t>
            </w:r>
          </w:p>
        </w:tc>
        <w:tc>
          <w:tcPr>
            <w:tcW w:type="dxa" w:w="2268"/>
            <w:shd w:val="clear" w:color="auto" w:fill="27AE60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8"/>
              </w:rPr>
              <w:t>Dashboard + AI</w:t>
              <w:br/>
              <w:t>Live · No Backend</w:t>
            </w:r>
          </w:p>
        </w:tc>
      </w:tr>
    </w:tbl>
    <w:p/>
    <w:p>
      <w:pPr>
        <w:pStyle w:val="ListBullet"/>
        <w:spacing w:after="60"/>
      </w:pPr>
      <w:r>
        <w:rPr>
          <w:color w:val="2C3E50"/>
          <w:sz w:val="20"/>
        </w:rPr>
        <w:t>Fetches employee, job, payroll, absence, performance and talent data in one pipeline</w:t>
      </w:r>
    </w:p>
    <w:p>
      <w:pPr>
        <w:pStyle w:val="ListBullet"/>
        <w:spacing w:after="60"/>
      </w:pPr>
      <w:r>
        <w:rPr>
          <w:color w:val="2C3E50"/>
          <w:sz w:val="20"/>
        </w:rPr>
        <w:t>Scores all 997 active employees against 18 configurable risk signals</w:t>
      </w:r>
    </w:p>
    <w:p>
      <w:pPr>
        <w:pStyle w:val="ListBullet"/>
        <w:spacing w:after="60"/>
      </w:pPr>
      <w:r>
        <w:rPr>
          <w:color w:val="2C3E50"/>
          <w:sz w:val="20"/>
        </w:rPr>
        <w:t>Publishes a self-contained dashboard — deployable to any static host</w:t>
      </w:r>
    </w:p>
    <w:p>
      <w:pPr>
        <w:pStyle w:val="ListBullet"/>
        <w:spacing w:after="60"/>
      </w:pPr>
      <w:r>
        <w:rPr>
          <w:color w:val="2C3E50"/>
          <w:sz w:val="20"/>
        </w:rPr>
        <w:t>AI interface lets HR ask questions in plain English — no queries, no filters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4</w:t>
      </w:r>
    </w:p>
    <w:p>
      <w:pPr>
        <w:spacing w:before="120" w:after="80"/>
      </w:pPr>
      <w:r>
        <w:rPr>
          <w:b/>
          <w:color w:val="1A1A2E"/>
          <w:sz w:val="40"/>
        </w:rPr>
        <w:t>What We Found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Scored today, from live SuccessFactors data: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1A1A2E"/>
                <w:sz w:val="44"/>
              </w:rPr>
              <w:t>997</w:t>
              <w:br/>
            </w:r>
            <w:r>
              <w:rPr>
                <w:color w:val="999999"/>
                <w:sz w:val="16"/>
              </w:rPr>
              <w:t>Active Employees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E74C3C"/>
                <w:sz w:val="44"/>
              </w:rPr>
              <w:t>18</w:t>
              <w:br/>
            </w:r>
            <w:r>
              <w:rPr>
                <w:color w:val="999999"/>
                <w:sz w:val="16"/>
              </w:rPr>
              <w:t>High Risk (2%)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39C12"/>
                <w:sz w:val="44"/>
              </w:rPr>
              <w:t>857</w:t>
              <w:br/>
            </w:r>
            <w:r>
              <w:rPr>
                <w:color w:val="999999"/>
                <w:sz w:val="16"/>
              </w:rPr>
              <w:t>Medium Risk (86%)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27AE60"/>
                <w:sz w:val="44"/>
              </w:rPr>
              <w:t>122</w:t>
              <w:br/>
            </w:r>
            <w:r>
              <w:rPr>
                <w:color w:val="999999"/>
                <w:sz w:val="16"/>
              </w:rPr>
              <w:t>Low Risk (12%)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1A1A2E"/>
                <w:sz w:val="44"/>
              </w:rPr>
              <w:t>44.6</w:t>
              <w:br/>
            </w:r>
            <w:r>
              <w:rPr>
                <w:color w:val="999999"/>
                <w:sz w:val="16"/>
              </w:rPr>
              <w:t>Avg Risk Score</w:t>
            </w:r>
          </w:p>
        </w:tc>
      </w:tr>
      <w:tr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E74C3C"/>
                <w:sz w:val="44"/>
              </w:rPr>
              <w:t>194</w:t>
              <w:br/>
            </w:r>
            <w:r>
              <w:rPr>
                <w:color w:val="999999"/>
                <w:sz w:val="16"/>
              </w:rPr>
              <w:t>Below Market Pay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39C12"/>
                <w:sz w:val="44"/>
              </w:rPr>
              <w:t>114</w:t>
              <w:br/>
            </w:r>
            <w:r>
              <w:rPr>
                <w:color w:val="999999"/>
                <w:sz w:val="16"/>
              </w:rPr>
              <w:t>Absence Records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39C12"/>
                <w:sz w:val="44"/>
              </w:rPr>
              <w:t>88</w:t>
              <w:br/>
            </w:r>
            <w:r>
              <w:rPr>
                <w:color w:val="999999"/>
                <w:sz w:val="16"/>
              </w:rPr>
              <w:t>Unmet Bonus Targets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1A1A2E"/>
                <w:sz w:val="44"/>
              </w:rPr>
              <w:t>80%</w:t>
              <w:br/>
            </w:r>
            <w:r>
              <w:rPr>
                <w:color w:val="999999"/>
                <w:sz w:val="16"/>
              </w:rPr>
              <w:t>Salary Coverage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27AE60"/>
                <w:sz w:val="44"/>
              </w:rPr>
              <w:t>1.10</w:t>
              <w:br/>
            </w:r>
            <w:r>
              <w:rPr>
                <w:color w:val="999999"/>
                <w:sz w:val="16"/>
              </w:rPr>
              <w:t>Avg Compa-Ratio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</w:tcPr>
          <w:p>
            <w:pPr>
              <w:spacing w:before="160" w:after="160"/>
              <w:ind w:left="170"/>
            </w:pPr>
            <w:r>
              <w:rPr>
                <w:b/>
                <w:color w:val="E74C3C"/>
                <w:sz w:val="21"/>
              </w:rPr>
              <w:t xml:space="preserve">⚠  194 employees — nearly 1 in 5 — are being paid below market rate. </w:t>
            </w:r>
            <w:r>
              <w:rPr>
                <w:color w:val="2C3E50"/>
                <w:sz w:val="21"/>
              </w:rPr>
              <w:t>That is not a model prediction. That is a fact sitting in your payroll data right now.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5</w:t>
      </w:r>
    </w:p>
    <w:p>
      <w:pPr>
        <w:spacing w:before="120" w:after="80"/>
      </w:pPr>
      <w:r>
        <w:rPr>
          <w:b/>
          <w:color w:val="1A1A2E"/>
          <w:sz w:val="40"/>
        </w:rPr>
        <w:t>Does It Actually Work?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Before asking anyone to trust this model, we tested it against reality.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22"/>
              </w:rPr>
              <w:t>The Backtest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22"/>
              </w:rPr>
              <w:t>The Result</w:t>
            </w:r>
          </w:p>
        </w:tc>
      </w:tr>
      <w:tr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200" w:after="200"/>
              <w:ind w:left="170"/>
            </w:pPr>
            <w:r>
              <w:rPr>
                <w:color w:val="2C3E50"/>
                <w:sz w:val="20"/>
              </w:rPr>
              <w:t>29 employees who have already left the organisation were identified. Their profile was reconstructed as it looked before they resigned — tenure, pay, performance, absence — then scored through the model.</w:t>
            </w:r>
          </w:p>
        </w:tc>
        <w:tc>
          <w:tcPr>
            <w:tcW w:type="dxa" w:w="3402"/>
            <w:shd w:val="clear" w:color="auto" w:fill="F0F4FF"/>
          </w:tcPr>
          <w:p>
            <w:pPr>
              <w:spacing w:before="320" w:after="80"/>
              <w:jc w:val="center"/>
            </w:pPr>
            <w:r>
              <w:rPr>
                <w:b/>
                <w:color w:val="E74C3C"/>
                <w:sz w:val="72"/>
              </w:rPr>
              <w:t>96.6%</w:t>
            </w:r>
          </w:p>
          <w:p>
            <w:pPr>
              <w:spacing w:after="320"/>
              <w:jc w:val="center"/>
            </w:pPr>
            <w:r>
              <w:rPr>
                <w:color w:val="999999"/>
                <w:sz w:val="18"/>
              </w:rPr>
              <w:t>capture rate</w:t>
              <w:br/>
              <w:t>(High + Medium Risk)</w:t>
            </w:r>
          </w:p>
        </w:tc>
      </w:tr>
    </w:tbl>
    <w:p/>
    <w:p>
      <w:pPr>
        <w:spacing w:after="100"/>
      </w:pPr>
      <w:r>
        <w:rPr>
          <w:b/>
          <w:color w:val="1A1A2E"/>
          <w:sz w:val="21"/>
        </w:rPr>
        <w:t>If this tool had been running 12 months ago, we would have had advance warning on almost every single leaver. The signals are real.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6</w:t>
      </w:r>
    </w:p>
    <w:p>
      <w:pPr>
        <w:spacing w:before="120" w:after="80"/>
      </w:pPr>
      <w:r>
        <w:rPr>
          <w:b/>
          <w:color w:val="1A1A2E"/>
          <w:sz w:val="40"/>
        </w:rPr>
        <w:t>From Insight to Action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Dashboards that stop at a score are not useful. Every high-risk employee gets three plain-language explanations — not a number, a sentence a manager can act 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18"/>
              </w:rPr>
              <w:t>EXAMPLE — High Risk Employee</w:t>
            </w:r>
          </w:p>
        </w:tc>
      </w:tr>
      <w:tr>
        <w:tc>
          <w:tcPr>
            <w:tcW w:type="dxa" w:w="9406"/>
            <w:shd w:val="clear" w:color="auto" w:fill="FF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A1A2E"/>
                <w:sz w:val="20"/>
              </w:rPr>
              <w:t>Sandra Grossi  ·  Operations DE  ·  Risk Score: 64.3  ·  Compa-Ratio: 0.33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70"/>
            </w:pPr>
            <w:r>
              <w:rPr>
                <w:b w:val="0"/>
                <w:color w:val="2C3E50"/>
                <w:sz w:val="19"/>
              </w:rPr>
              <w:t>1.  Sandra has been in the same role for 9.7 years with no recorded position change — career stagnation is one of the top voluntary exit predictors.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70"/>
            </w:pPr>
            <w:r>
              <w:rPr>
                <w:b w:val="0"/>
                <w:color w:val="2C3E50"/>
                <w:sz w:val="19"/>
              </w:rPr>
              <w:t>2.  No completed performance review is on record — employees without formal feedback are significantly more likely to feel unrecognised and disengage.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70"/>
            </w:pPr>
            <w:r>
              <w:rPr>
                <w:b w:val="0"/>
                <w:color w:val="2C3E50"/>
                <w:sz w:val="19"/>
              </w:rPr>
              <w:t>3.  Base salary shows compa-ratio of 0.33 — placing them &gt;10% below department median. Employees below 90% compa-ratio are 2–3× more likely to accept an external offer.</w:t>
            </w:r>
          </w:p>
        </w:tc>
      </w:tr>
    </w:tbl>
    <w:p/>
    <w:p>
      <w:pPr>
        <w:spacing w:after="100"/>
      </w:pPr>
      <w:r>
        <w:rPr>
          <w:b/>
          <w:color w:val="1A1A2E"/>
          <w:sz w:val="21"/>
        </w:rPr>
        <w:t>From each card, an HR partner can log a retention action directly: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57"/>
            <w:shd w:val="clear" w:color="auto" w:fill="0070F3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7"/>
              </w:rPr>
              <w:t>Compensation Review</w:t>
            </w:r>
          </w:p>
        </w:tc>
        <w:tc>
          <w:tcPr>
            <w:tcW w:type="dxa" w:w="1757"/>
            <w:shd w:val="clear" w:color="auto" w:fill="9B59B6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7"/>
              </w:rPr>
              <w:t>Role Change / Promotion</w:t>
            </w:r>
          </w:p>
        </w:tc>
        <w:tc>
          <w:tcPr>
            <w:tcW w:type="dxa" w:w="1757"/>
            <w:shd w:val="clear" w:color="auto" w:fill="27AE60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7"/>
              </w:rPr>
              <w:t>Retention Bonus Offer</w:t>
            </w:r>
          </w:p>
        </w:tc>
        <w:tc>
          <w:tcPr>
            <w:tcW w:type="dxa" w:w="1757"/>
            <w:shd w:val="clear" w:color="auto" w:fill="F39C12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7"/>
              </w:rPr>
              <w:t>1:1 Check-In</w:t>
            </w:r>
          </w:p>
        </w:tc>
        <w:tc>
          <w:tcPr>
            <w:tcW w:type="dxa" w:w="1757"/>
            <w:shd w:val="clear" w:color="auto" w:fill="E67E22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17"/>
              </w:rPr>
              <w:t>Mentoring Setup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7</w:t>
      </w:r>
    </w:p>
    <w:p>
      <w:pPr>
        <w:spacing w:before="120" w:after="80"/>
      </w:pPr>
      <w:r>
        <w:rPr>
          <w:b/>
          <w:color w:val="1A1A2E"/>
          <w:sz w:val="40"/>
        </w:rPr>
        <w:t>Ask AI — Natural Language Interface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Not every HR partner wants to filter tables or write queries. The AI interface turns workforce data into a plain-English conversation.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Who are the top 5 highest risk employees?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What's driving risk in the Engineering department?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Which employees have low pay and no performance review?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Suggest retention actions for our high-risk cohort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Which high-risk employees have no retention action logged yet?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Which departments have the most role stagnation?</w:t>
            </w:r>
          </w:p>
        </w:tc>
      </w:tr>
      <w:tr>
        <w:tc>
          <w:tcPr>
            <w:tcW w:type="dxa" w:w="510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70F3"/>
                <w:sz w:val="22"/>
              </w:rPr>
              <w:t>?</w:t>
            </w:r>
          </w:p>
        </w:tc>
        <w:tc>
          <w:tcPr>
            <w:tcW w:type="dxa" w:w="8504"/>
            <w:shd w:val="clear" w:color="auto" w:fill="F0F4FF"/>
            <w:tcBorders>
              <w:top w:val="single" w:sz="4" w:space="0" w:color="B3D9F7"/>
              <w:left w:val="single" w:sz="4" w:space="0" w:color="B3D9F7"/>
              <w:bottom w:val="single" w:sz="4" w:space="0" w:color="B3D9F7"/>
              <w:right w:val="single" w:sz="4" w:space="0" w:color="B3D9F7"/>
            </w:tcBorders>
          </w:tcPr>
          <w:p>
            <w:pPr>
              <w:spacing w:before="80" w:after="80"/>
              <w:ind w:left="113"/>
            </w:pPr>
            <w:r>
              <w:rPr>
                <w:color w:val="2C3E50"/>
                <w:sz w:val="20"/>
              </w:rPr>
              <w:t>What is the average tenure of high-risk employees?</w:t>
            </w:r>
          </w:p>
        </w:tc>
      </w:tr>
    </w:tbl>
    <w:p/>
    <w:p>
      <w:pPr>
        <w:spacing w:after="100"/>
      </w:pPr>
      <w:r>
        <w:rPr>
          <w:b/>
          <w:color w:val="1A1A2E"/>
          <w:sz w:val="21"/>
        </w:rPr>
        <w:t>An HR business partner does not need to know how to filter a table. They just ask. This turns the data into a decision.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8</w:t>
      </w:r>
    </w:p>
    <w:p>
      <w:pPr>
        <w:spacing w:before="120" w:after="80"/>
      </w:pPr>
      <w:r>
        <w:rPr>
          <w:b/>
          <w:color w:val="1A1A2E"/>
          <w:sz w:val="40"/>
        </w:rPr>
        <w:t>Technical Architecture &amp; Complexity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Built in weeks on existing infrastructure. No new systems or data migration required.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0070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2"/>
            <w:shd w:val="clear" w:color="auto" w:fill="0070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3855"/>
            <w:shd w:val="clear" w:color="auto" w:fill="0070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7"/>
              </w:rPr>
              <w:t>Complexity Handled</w:t>
            </w:r>
          </w:p>
        </w:tc>
      </w:tr>
      <w:tr>
        <w:tc>
          <w:tcPr>
            <w:tcW w:type="dxa" w:w="1814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Data Ingestion</w:t>
            </w:r>
          </w:p>
        </w:tc>
        <w:tc>
          <w:tcPr>
            <w:tcW w:type="dxa" w:w="34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Fetches 14 OData entities from SuccessFactors across two instances (HR + Payroll)</w:t>
            </w:r>
          </w:p>
        </w:tc>
        <w:tc>
          <w:tcPr>
            <w:tcW w:type="dxa" w:w="385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Browser SSO, paginated 1,000-record pulls, multi-instance merge</w:t>
            </w:r>
          </w:p>
        </w:tc>
      </w:tr>
      <w:tr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Data Quality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Merges payroll + HR records; fills gaps with fallback sources</w:t>
            </w:r>
          </w:p>
        </w:tc>
        <w:tc>
          <w:tcPr>
            <w:tcW w:type="dxa" w:w="385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Field-level fallbacks — missing dateOfCurrentPosition falls back to job history; missing salary falls back to SF pay components</w:t>
            </w:r>
          </w:p>
        </w:tc>
      </w:tr>
      <w:tr>
        <w:tc>
          <w:tcPr>
            <w:tcW w:type="dxa" w:w="1814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Salary Normalisation</w:t>
            </w:r>
          </w:p>
        </w:tc>
        <w:tc>
          <w:tcPr>
            <w:tcW w:type="dxa" w:w="34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Converts salaries to a common basis for compa-ratio calculation</w:t>
            </w:r>
          </w:p>
        </w:tc>
        <w:tc>
          <w:tcPr>
            <w:tcW w:type="dxa" w:w="385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Multi-currency (USD, EUR, GBP, RUB, JPY, SGD, AUD, THB, SAR) — compa-ratio calculated within same-currency department groups</w:t>
            </w:r>
          </w:p>
        </w:tc>
      </w:tr>
      <w:tr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Risk Scoring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18 factors, each normalised 0–100, combined via configurable weights</w:t>
            </w:r>
          </w:p>
        </w:tc>
        <w:tc>
          <w:tcPr>
            <w:tcW w:type="dxa" w:w="385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Nulls score to a conservative default — missing data never rewards a false low-risk classification</w:t>
            </w:r>
          </w:p>
        </w:tc>
      </w:tr>
      <w:tr>
        <w:tc>
          <w:tcPr>
            <w:tcW w:type="dxa" w:w="1814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Backtest Engine</w:t>
            </w:r>
          </w:p>
        </w:tc>
        <w:tc>
          <w:tcPr>
            <w:tcW w:type="dxa" w:w="34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Reconstructs terminated employee profiles and re-scores them as they looked before departure</w:t>
            </w:r>
          </w:p>
        </w:tc>
        <w:tc>
          <w:tcPr>
            <w:tcW w:type="dxa" w:w="385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Time-point reconstruction from employment end dates and job history — a genuine pre-resignation snapshot</w:t>
            </w:r>
          </w:p>
        </w:tc>
      </w:tr>
      <w:tr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Dashboard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Single self-contained HTML file — no backend, no database, deployable to any static host</w:t>
            </w:r>
          </w:p>
        </w:tc>
        <w:tc>
          <w:tcPr>
            <w:tcW w:type="dxa" w:w="385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637 KB file embeds all 997 employee records, chart data, AI interface, and retention logging in one artefact</w:t>
            </w:r>
          </w:p>
        </w:tc>
      </w:tr>
      <w:tr>
        <w:tc>
          <w:tcPr>
            <w:tcW w:type="dxa" w:w="1814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/>
                <w:color w:val="1A1A2E"/>
                <w:sz w:val="16"/>
              </w:rPr>
              <w:t>MCP Server</w:t>
            </w:r>
          </w:p>
        </w:tc>
        <w:tc>
          <w:tcPr>
            <w:tcW w:type="dxa" w:w="34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Claude Code integration via Model Context Protocol — full pipeline from a single agent command</w:t>
            </w:r>
          </w:p>
        </w:tc>
        <w:tc>
          <w:tcPr>
            <w:tcW w:type="dxa" w:w="385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00" w:after="100"/>
              <w:ind w:left="113"/>
            </w:pPr>
            <w:r>
              <w:rPr>
                <w:b w:val="0"/>
                <w:color w:val="2C3E50"/>
                <w:sz w:val="16"/>
              </w:rPr>
              <w:t>TypeScript server wrapping Python model; Fetch → Score → Publish in one call</w:t>
            </w:r>
          </w:p>
        </w:tc>
      </w:tr>
    </w:tbl>
    <w:p/>
    <w:p>
      <w:r>
        <w:rPr>
          <w:b/>
          <w:color w:val="1A1A2E"/>
          <w:sz w:val="18"/>
        </w:rPr>
        <w:t xml:space="preserve">Global scope: </w:t>
      </w:r>
      <w:r>
        <w:rPr>
          <w:color w:val="2C3E50"/>
          <w:sz w:val="18"/>
        </w:rPr>
        <w:t xml:space="preserve">Employee names in Russian, Japanese, Arabic, Thai, German, French. Model is locale-agnostic — works entirely on structured fields, not text. </w:t>
      </w:r>
      <w:r>
        <w:rPr>
          <w:b/>
          <w:color w:val="1A1A2E"/>
          <w:sz w:val="18"/>
        </w:rPr>
        <w:t xml:space="preserve">Coverage from a cold start: </w:t>
      </w:r>
      <w:r>
        <w:rPr>
          <w:color w:val="2C3E50"/>
          <w:sz w:val="18"/>
        </w:rPr>
        <w:t>80% salary, 97% tenure, 96.6% backtest capture rate.</w:t>
      </w:r>
    </w:p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9</w:t>
      </w:r>
    </w:p>
    <w:p>
      <w:pPr>
        <w:spacing w:before="120" w:after="80"/>
      </w:pPr>
      <w:r>
        <w:rPr>
          <w:b/>
          <w:color w:val="1A1A2E"/>
          <w:sz w:val="40"/>
        </w:rPr>
        <w:t>Honest About the Gaps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 w:val="0"/>
          <w:color w:val="2C3E50"/>
          <w:sz w:val="21"/>
        </w:rPr>
        <w:t>What is production-grade today and what would need investment to scale.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27AE60"/>
                <w:sz w:val="24"/>
              </w:rPr>
              <w:t>✓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Data pipeline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Production-ready — authenticated, paginated, multi-instance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27AE60"/>
                <w:sz w:val="24"/>
              </w:rPr>
              <w:t>✓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Risk model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Solid directional signal — validated at 96.6% backtest capture rate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27AE60"/>
                <w:sz w:val="24"/>
              </w:rPr>
              <w:t>✓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Dashboard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Deployable today — no infrastructure dependencies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39C12"/>
                <w:sz w:val="24"/>
              </w:rPr>
              <w:t>△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Performance ratings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Missing for a significant share — model uses conservative default; real ratings would sharpen accuracy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39C12"/>
                <w:sz w:val="24"/>
              </w:rPr>
              <w:t>△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Weight calibration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Currently set by research benchmarks — needs calibration against your own historical attrition data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39C12"/>
                <w:sz w:val="24"/>
              </w:rPr>
              <w:t>△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Retention action log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In-memory only — needs a persistence layer for production tracking</w:t>
            </w:r>
          </w:p>
        </w:tc>
      </w:tr>
      <w:tr>
        <w:tc>
          <w:tcPr>
            <w:tcW w:type="dxa" w:w="4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39C12"/>
                <w:sz w:val="24"/>
              </w:rPr>
              <w:t>△</w:t>
            </w:r>
          </w:p>
        </w:tc>
        <w:tc>
          <w:tcPr>
            <w:tcW w:type="dxa" w:w="215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b/>
                <w:color w:val="1A1A2E"/>
                <w:sz w:val="19"/>
              </w:rPr>
              <w:t>AI guardrails</w:t>
            </w:r>
          </w:p>
        </w:tc>
        <w:tc>
          <w:tcPr>
            <w:tcW w:type="dxa" w:w="6463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120" w:after="120"/>
              <w:ind w:left="113"/>
            </w:pPr>
            <w:r>
              <w:rPr>
                <w:color w:val="2C3E50"/>
                <w:sz w:val="18"/>
              </w:rPr>
              <w:t>Needs role-based access controls before going to line managers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0070F3"/>
          <w:sz w:val="18"/>
        </w:rPr>
        <w:t>SLIDE 10</w:t>
      </w:r>
    </w:p>
    <w:p>
      <w:pPr>
        <w:spacing w:before="120" w:after="80"/>
      </w:pPr>
      <w:r>
        <w:rPr>
          <w:b/>
          <w:color w:val="1A1A2E"/>
          <w:sz w:val="40"/>
        </w:rPr>
        <w:t>The Ask</w:t>
      </w:r>
    </w:p>
    <w:p>
      <w:pPr>
        <w:spacing w:before="40" w:after="120"/>
        <w:pBdr>
          <w:bottom w:val="single" w:sz="6" w:space="1" w:color="0070F3"/>
        </w:pBdr>
      </w:pPr>
    </w:p>
    <w:p>
      <w:pPr>
        <w:spacing w:after="100"/>
      </w:pPr>
      <w:r>
        <w:rPr>
          <w:b/>
          <w:color w:val="1A1A2E"/>
          <w:sz w:val="26"/>
        </w:rPr>
        <w:t>We have proven the hypothesis.</w:t>
      </w:r>
    </w:p>
    <w:p/>
    <w:p>
      <w:pPr>
        <w:spacing w:after="80"/>
      </w:pPr>
      <w:r>
        <w:rPr>
          <w:b/>
          <w:color w:val="27AE60"/>
          <w:sz w:val="22"/>
        </w:rPr>
        <w:t>✓  The signals exist</w:t>
        <w:br/>
      </w:r>
      <w:r>
        <w:rPr>
          <w:color w:val="2C3E50"/>
          <w:sz w:val="20"/>
        </w:rPr>
        <w:t xml:space="preserve">    SuccessFactors data is rich enough to generate meaningful risk scores without new data collection</w:t>
      </w:r>
    </w:p>
    <w:p>
      <w:pPr>
        <w:spacing w:after="80"/>
      </w:pPr>
      <w:r>
        <w:rPr>
          <w:b/>
          <w:color w:val="27AE60"/>
          <w:sz w:val="22"/>
        </w:rPr>
        <w:t>✓  The model is accurate</w:t>
        <w:br/>
      </w:r>
      <w:r>
        <w:rPr>
          <w:color w:val="2C3E50"/>
          <w:sz w:val="20"/>
        </w:rPr>
        <w:t xml:space="preserve">    96.6% of historical leavers were correctly flagged before they resigned</w:t>
      </w:r>
    </w:p>
    <w:p>
      <w:pPr>
        <w:spacing w:after="80"/>
      </w:pPr>
      <w:r>
        <w:rPr>
          <w:b/>
          <w:color w:val="27AE60"/>
          <w:sz w:val="22"/>
        </w:rPr>
        <w:t>✓  The interface is usable</w:t>
        <w:br/>
      </w:r>
      <w:r>
        <w:rPr>
          <w:color w:val="2C3E50"/>
          <w:sz w:val="20"/>
        </w:rPr>
        <w:t xml:space="preserve">    HR partners and line managers can use it without training or technical knowledge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4" w:space="0" w:color="0070F3"/>
              <w:left w:val="single" w:sz="4" w:space="0" w:color="0070F3"/>
              <w:bottom w:val="single" w:sz="4" w:space="0" w:color="0070F3"/>
              <w:right w:val="single" w:sz="4" w:space="0" w:color="0070F3"/>
            </w:tcBorders>
          </w:tcPr>
          <w:p>
            <w:pPr>
              <w:spacing w:before="280" w:after="280"/>
              <w:jc w:val="center"/>
            </w:pPr>
            <w:r>
              <w:rPr>
                <w:color w:val="2C3E50"/>
                <w:sz w:val="22"/>
              </w:rPr>
              <w:t>The question isn't whether this is technically feasible — you've just seen that it is.</w:t>
              <w:br/>
              <w:br/>
            </w:r>
            <w:r>
              <w:rPr>
                <w:b/>
                <w:color w:val="1A1A2E"/>
                <w:sz w:val="26"/>
              </w:rPr>
              <w:t>How many people will leave in the next 90 days that we could have kept, if we'd had this in place?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What we are asking for: mandate and resource to move from POC to production — real performance data, calibrated weights, persistent action tracking, and role-based access.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